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2225E" w14:textId="49CA5731" w:rsidR="001721D8" w:rsidRPr="006C5D36" w:rsidRDefault="00F03D33" w:rsidP="006C5D36">
      <w:pPr>
        <w:pBdr>
          <w:bottom w:val="single" w:sz="4" w:space="1" w:color="auto"/>
        </w:pBdr>
        <w:spacing w:after="0"/>
        <w:rPr>
          <w:b/>
          <w:bCs/>
          <w:color w:val="FF0000"/>
          <w:sz w:val="30"/>
          <w:szCs w:val="30"/>
        </w:rPr>
      </w:pPr>
      <w:r w:rsidRPr="006C5D36">
        <w:rPr>
          <w:b/>
          <w:bCs/>
          <w:sz w:val="30"/>
          <w:szCs w:val="30"/>
        </w:rPr>
        <w:t>Announcement</w:t>
      </w:r>
      <w:r>
        <w:rPr>
          <w:b/>
          <w:bCs/>
          <w:sz w:val="30"/>
          <w:szCs w:val="30"/>
        </w:rPr>
        <w:t xml:space="preserve">: </w:t>
      </w:r>
      <w:r w:rsidR="00AE594C" w:rsidRPr="00AE594C">
        <w:rPr>
          <w:b/>
          <w:bCs/>
          <w:sz w:val="30"/>
          <w:szCs w:val="30"/>
        </w:rPr>
        <w:t>14 June</w:t>
      </w:r>
      <w:r w:rsidRPr="00AE594C">
        <w:rPr>
          <w:b/>
          <w:bCs/>
          <w:sz w:val="30"/>
          <w:szCs w:val="30"/>
        </w:rPr>
        <w:t xml:space="preserve"> 2022</w:t>
      </w:r>
      <w:r w:rsidR="00C33E12" w:rsidRPr="006C5D36">
        <w:rPr>
          <w:b/>
          <w:bCs/>
          <w:color w:val="FF0000"/>
          <w:sz w:val="30"/>
          <w:szCs w:val="30"/>
        </w:rPr>
        <w:t xml:space="preserve"> </w:t>
      </w:r>
    </w:p>
    <w:p w14:paraId="70BEC536" w14:textId="6B8A9C7D" w:rsidR="0079067C" w:rsidRDefault="0079067C" w:rsidP="006C5D36">
      <w:pPr>
        <w:pStyle w:val="BodyText1"/>
        <w:spacing w:before="0"/>
        <w:ind w:right="-188"/>
      </w:pPr>
      <w:r>
        <w:t xml:space="preserve">Contact: </w:t>
      </w:r>
      <w:hyperlink r:id="rId8" w:history="1">
        <w:r w:rsidRPr="00732FC2">
          <w:rPr>
            <w:rStyle w:val="Hyperlink"/>
          </w:rPr>
          <w:t>chloemason89@outlook.com</w:t>
        </w:r>
      </w:hyperlink>
      <w:r>
        <w:t xml:space="preserve"> +61 419 811 750 (AE</w:t>
      </w:r>
      <w:r w:rsidR="00C33CB8">
        <w:t>S</w:t>
      </w:r>
      <w:r>
        <w:t xml:space="preserve">T – </w:t>
      </w:r>
      <w:r w:rsidR="00F56C6F">
        <w:t>9</w:t>
      </w:r>
      <w:r>
        <w:t xml:space="preserve"> hours ahead in UK) </w:t>
      </w:r>
    </w:p>
    <w:p w14:paraId="3C57BBDA" w14:textId="60685C29" w:rsidR="00077882" w:rsidRPr="00F12255" w:rsidRDefault="00F12255" w:rsidP="00F12255">
      <w:pPr>
        <w:pStyle w:val="Heading1"/>
      </w:pPr>
      <w:r w:rsidRPr="00F12255">
        <w:t xml:space="preserve">Alice Wheeldon </w:t>
      </w:r>
      <w:r w:rsidR="00853F77">
        <w:t>miscarriage of justice</w:t>
      </w:r>
      <w:r w:rsidRPr="00F12255">
        <w:t xml:space="preserve">: </w:t>
      </w:r>
      <w:r>
        <w:br/>
      </w:r>
      <w:r w:rsidRPr="00F12255">
        <w:t>Decision by Criminal Cases Review Commission</w:t>
      </w:r>
    </w:p>
    <w:p w14:paraId="24C14730" w14:textId="24F76BA4" w:rsidR="00ED01BD" w:rsidRPr="00CC6F98" w:rsidRDefault="00CC6F98" w:rsidP="009A7C0B">
      <w:pPr>
        <w:pStyle w:val="BodyText1"/>
        <w:ind w:right="-46"/>
        <w:rPr>
          <w:b/>
          <w:bCs/>
        </w:rPr>
      </w:pPr>
      <w:r w:rsidRPr="00CC6F98">
        <w:rPr>
          <w:b/>
          <w:bCs/>
        </w:rPr>
        <w:t>Efforts</w:t>
      </w:r>
      <w:r w:rsidR="00894254" w:rsidRPr="00CC6F98">
        <w:rPr>
          <w:b/>
          <w:bCs/>
        </w:rPr>
        <w:t xml:space="preserve"> to </w:t>
      </w:r>
      <w:r w:rsidR="00ED01BD" w:rsidRPr="00CC6F98">
        <w:rPr>
          <w:b/>
          <w:bCs/>
        </w:rPr>
        <w:t xml:space="preserve">quash the </w:t>
      </w:r>
      <w:r w:rsidR="00370976" w:rsidRPr="00CC6F98">
        <w:rPr>
          <w:b/>
          <w:bCs/>
        </w:rPr>
        <w:t xml:space="preserve">unjust </w:t>
      </w:r>
      <w:r w:rsidR="00ED01BD" w:rsidRPr="00CC6F98">
        <w:rPr>
          <w:b/>
          <w:bCs/>
        </w:rPr>
        <w:t>1917 convictions</w:t>
      </w:r>
      <w:r w:rsidR="00894254" w:rsidRPr="00CC6F98">
        <w:rPr>
          <w:b/>
          <w:bCs/>
        </w:rPr>
        <w:t xml:space="preserve"> of </w:t>
      </w:r>
      <w:r w:rsidR="00A7256B" w:rsidRPr="00CC6F98">
        <w:rPr>
          <w:b/>
          <w:bCs/>
        </w:rPr>
        <w:t xml:space="preserve">Derby </w:t>
      </w:r>
      <w:r w:rsidR="00ED01BD" w:rsidRPr="00CC6F98">
        <w:rPr>
          <w:b/>
          <w:bCs/>
        </w:rPr>
        <w:t xml:space="preserve">woman </w:t>
      </w:r>
      <w:r w:rsidR="00894254" w:rsidRPr="00CC6F98">
        <w:rPr>
          <w:b/>
          <w:bCs/>
        </w:rPr>
        <w:t>Alice Wheeldon</w:t>
      </w:r>
      <w:r w:rsidR="00ED01BD" w:rsidRPr="00CC6F98">
        <w:rPr>
          <w:b/>
          <w:bCs/>
        </w:rPr>
        <w:t xml:space="preserve"> and her family through the </w:t>
      </w:r>
      <w:r w:rsidR="00B7016C" w:rsidRPr="00CC6F98">
        <w:rPr>
          <w:b/>
          <w:bCs/>
        </w:rPr>
        <w:t xml:space="preserve">UK </w:t>
      </w:r>
      <w:r w:rsidR="00370976" w:rsidRPr="00CC6F98">
        <w:rPr>
          <w:b/>
          <w:bCs/>
        </w:rPr>
        <w:t>legal system ha</w:t>
      </w:r>
      <w:r w:rsidRPr="00CC6F98">
        <w:rPr>
          <w:b/>
          <w:bCs/>
        </w:rPr>
        <w:t>ve</w:t>
      </w:r>
      <w:r w:rsidR="00ED01BD" w:rsidRPr="00CC6F98">
        <w:rPr>
          <w:b/>
          <w:bCs/>
        </w:rPr>
        <w:t xml:space="preserve"> </w:t>
      </w:r>
      <w:r w:rsidR="00D6301F" w:rsidRPr="00CC6F98">
        <w:rPr>
          <w:b/>
          <w:bCs/>
        </w:rPr>
        <w:t>concluded</w:t>
      </w:r>
      <w:r w:rsidR="00ED01BD" w:rsidRPr="00CC6F98">
        <w:rPr>
          <w:b/>
          <w:bCs/>
        </w:rPr>
        <w:t xml:space="preserve"> with the Criminal Cases Review Commission </w:t>
      </w:r>
      <w:r w:rsidR="00877262" w:rsidRPr="00CC6F98">
        <w:rPr>
          <w:b/>
          <w:bCs/>
        </w:rPr>
        <w:t xml:space="preserve">(CCRC) </w:t>
      </w:r>
      <w:r w:rsidR="00322A49" w:rsidRPr="00CC6F98">
        <w:rPr>
          <w:b/>
          <w:bCs/>
        </w:rPr>
        <w:t xml:space="preserve">deciding </w:t>
      </w:r>
      <w:r w:rsidR="00ED01BD" w:rsidRPr="00CC6F98">
        <w:rPr>
          <w:b/>
          <w:bCs/>
        </w:rPr>
        <w:t>not to refer the case to the Court of Appeal.</w:t>
      </w:r>
    </w:p>
    <w:p w14:paraId="13116521" w14:textId="300E1917" w:rsidR="003C7FDF" w:rsidRPr="00A96B83" w:rsidRDefault="003C7FDF" w:rsidP="009A7C0B">
      <w:pPr>
        <w:pStyle w:val="BodyText1"/>
        <w:ind w:right="-188"/>
      </w:pPr>
      <w:r w:rsidRPr="00A42E06">
        <w:t>Chloë</w:t>
      </w:r>
      <w:r>
        <w:t xml:space="preserve"> Mason, Alice’s great granddaughter, had applied to the CCRC in November 2019 as part of a campaign to clear her family’s name. Although disappointed by the CCRC’s decision, </w:t>
      </w:r>
      <w:r w:rsidR="0053495F" w:rsidRPr="00A42E06">
        <w:t>Chloë</w:t>
      </w:r>
      <w:r w:rsidR="0053495F">
        <w:t xml:space="preserve"> </w:t>
      </w:r>
      <w:r>
        <w:t xml:space="preserve">believes that the momentum of the campaign </w:t>
      </w:r>
      <w:r w:rsidR="00B7016C">
        <w:t xml:space="preserve">and the </w:t>
      </w:r>
      <w:r w:rsidR="00037F37">
        <w:t xml:space="preserve">wealth of new </w:t>
      </w:r>
      <w:r w:rsidR="00B7016C">
        <w:t xml:space="preserve">documents </w:t>
      </w:r>
      <w:r w:rsidR="00037F37">
        <w:t xml:space="preserve">unearthed </w:t>
      </w:r>
      <w:r w:rsidR="00870C3A">
        <w:t xml:space="preserve">in the process of putting together the application </w:t>
      </w:r>
      <w:r w:rsidR="00CF58A9">
        <w:t xml:space="preserve">are </w:t>
      </w:r>
      <w:r>
        <w:t xml:space="preserve">such that </w:t>
      </w:r>
      <w:r w:rsidR="00B7016C">
        <w:t xml:space="preserve">a more </w:t>
      </w:r>
      <w:r w:rsidR="002342D3">
        <w:t xml:space="preserve">accurate </w:t>
      </w:r>
      <w:r w:rsidR="00B7016C">
        <w:t xml:space="preserve">history </w:t>
      </w:r>
      <w:r w:rsidR="00870C3A">
        <w:t xml:space="preserve">can </w:t>
      </w:r>
      <w:r w:rsidR="00992876">
        <w:t xml:space="preserve">be </w:t>
      </w:r>
      <w:r w:rsidR="00B7016C">
        <w:t>told</w:t>
      </w:r>
      <w:r w:rsidR="00992876">
        <w:t xml:space="preserve">: </w:t>
      </w:r>
      <w:r w:rsidR="00B7016C">
        <w:t>“</w:t>
      </w:r>
      <w:r w:rsidR="0025127A">
        <w:t xml:space="preserve">Alice is now being recognised </w:t>
      </w:r>
      <w:r w:rsidR="00037F37">
        <w:t>as</w:t>
      </w:r>
      <w:r w:rsidR="00B65DB3">
        <w:t xml:space="preserve"> </w:t>
      </w:r>
      <w:r w:rsidR="009A6B87" w:rsidRPr="00B65DB3">
        <w:t xml:space="preserve">a </w:t>
      </w:r>
      <w:r w:rsidR="00C33E12" w:rsidRPr="00B65DB3">
        <w:t xml:space="preserve">principled </w:t>
      </w:r>
      <w:r w:rsidR="009A6B87" w:rsidRPr="00B65DB3">
        <w:t xml:space="preserve">woman </w:t>
      </w:r>
      <w:r w:rsidR="00C33E12" w:rsidRPr="00B65DB3">
        <w:t xml:space="preserve">who endured an infamous trial and imprisonment for voicing opposition to </w:t>
      </w:r>
      <w:r w:rsidR="00FC1948" w:rsidRPr="00B65DB3">
        <w:t>the war</w:t>
      </w:r>
      <w:r w:rsidR="00FC1948" w:rsidRPr="00A96B83">
        <w:t xml:space="preserve">, </w:t>
      </w:r>
      <w:r w:rsidR="00B65DB3" w:rsidRPr="00A96B83">
        <w:t xml:space="preserve">rejecting </w:t>
      </w:r>
      <w:r w:rsidR="009A6B87" w:rsidRPr="00A96B83">
        <w:t xml:space="preserve">conscription, and </w:t>
      </w:r>
      <w:r w:rsidR="00B65DB3" w:rsidRPr="00A96B83">
        <w:t xml:space="preserve">standing up for </w:t>
      </w:r>
      <w:r w:rsidR="009A6B87" w:rsidRPr="00A96B83">
        <w:t>women’s rights.</w:t>
      </w:r>
      <w:r w:rsidR="00992876">
        <w:t>”</w:t>
      </w:r>
    </w:p>
    <w:p w14:paraId="639BA56C" w14:textId="5F06DB4F" w:rsidR="002C107F" w:rsidRDefault="002C107F" w:rsidP="006326D9">
      <w:pPr>
        <w:pStyle w:val="BodyText1"/>
      </w:pPr>
      <w:r>
        <w:t xml:space="preserve">Alice Wheeldon, her daughter Winnie </w:t>
      </w:r>
      <w:r w:rsidR="00C33E12">
        <w:t>Mason,</w:t>
      </w:r>
      <w:r>
        <w:t xml:space="preserve"> and son-in-law Alf Mason, were convicted </w:t>
      </w:r>
      <w:r w:rsidR="00DB49D9">
        <w:t xml:space="preserve">in March </w:t>
      </w:r>
      <w:r w:rsidR="009A6B87" w:rsidRPr="00B65DB3">
        <w:t>19</w:t>
      </w:r>
      <w:r w:rsidR="00DB49D9" w:rsidRPr="00B65DB3">
        <w:t>1</w:t>
      </w:r>
      <w:r w:rsidR="00DB49D9">
        <w:t xml:space="preserve">7 </w:t>
      </w:r>
      <w:r>
        <w:t xml:space="preserve">of conspiring to murder the Prime Minister David Lloyd George and Labour leader Arthur Henderson. </w:t>
      </w:r>
      <w:r w:rsidR="00C83CC0">
        <w:t>In the febrile atmosphere</w:t>
      </w:r>
      <w:r w:rsidR="00B65DB3">
        <w:t xml:space="preserve"> </w:t>
      </w:r>
      <w:r w:rsidR="00EE4B88">
        <w:t xml:space="preserve">of </w:t>
      </w:r>
      <w:r w:rsidR="0079067C">
        <w:t xml:space="preserve">the closing years of the </w:t>
      </w:r>
      <w:r w:rsidR="00EE4B88">
        <w:t>First World War</w:t>
      </w:r>
      <w:r w:rsidR="00C83CC0">
        <w:t>, t</w:t>
      </w:r>
      <w:r>
        <w:t xml:space="preserve">he </w:t>
      </w:r>
      <w:r w:rsidR="00A4563D">
        <w:t>trial</w:t>
      </w:r>
      <w:r>
        <w:t xml:space="preserve"> was sensational </w:t>
      </w:r>
      <w:r w:rsidR="00C83CC0">
        <w:t>and politically charged</w:t>
      </w:r>
      <w:r>
        <w:t xml:space="preserve">, involving undercover </w:t>
      </w:r>
      <w:r w:rsidR="00B7016C">
        <w:t>agent</w:t>
      </w:r>
      <w:r w:rsidR="00E22B64">
        <w:t>s</w:t>
      </w:r>
      <w:r w:rsidR="00B7016C">
        <w:t xml:space="preserve">, </w:t>
      </w:r>
      <w:r w:rsidR="009D7FC7">
        <w:t xml:space="preserve">accusations of </w:t>
      </w:r>
      <w:r w:rsidR="009D7FC7" w:rsidRPr="00992876">
        <w:t>bad character and alleged poison plots</w:t>
      </w:r>
      <w:r w:rsidR="003C7FDF" w:rsidRPr="00992876">
        <w:t xml:space="preserve">. </w:t>
      </w:r>
      <w:r w:rsidR="00A525EF" w:rsidRPr="00992876">
        <w:t xml:space="preserve">As the story </w:t>
      </w:r>
      <w:r w:rsidR="009A7C0B">
        <w:t>continued to</w:t>
      </w:r>
      <w:r w:rsidR="00A525EF" w:rsidRPr="00992876">
        <w:t xml:space="preserve"> re-surfac</w:t>
      </w:r>
      <w:r w:rsidR="009A7C0B">
        <w:t>e</w:t>
      </w:r>
      <w:r w:rsidR="00A525EF" w:rsidRPr="00992876">
        <w:t xml:space="preserve"> over</w:t>
      </w:r>
      <w:r w:rsidR="00A525EF" w:rsidRPr="00B65DB3">
        <w:rPr>
          <w:color w:val="FF0000"/>
        </w:rPr>
        <w:t xml:space="preserve"> </w:t>
      </w:r>
      <w:r w:rsidR="00B65DB3" w:rsidRPr="00992876">
        <w:t>the decades,</w:t>
      </w:r>
      <w:r w:rsidR="009D7FC7" w:rsidRPr="00992876">
        <w:t xml:space="preserve"> </w:t>
      </w:r>
      <w:r w:rsidR="00A525EF" w:rsidRPr="00992876">
        <w:t>i</w:t>
      </w:r>
      <w:r w:rsidR="003C7FDF" w:rsidRPr="00992876">
        <w:t xml:space="preserve">t </w:t>
      </w:r>
      <w:r w:rsidR="009D7FC7" w:rsidRPr="00992876">
        <w:t>became</w:t>
      </w:r>
      <w:r w:rsidR="009D7FC7">
        <w:t xml:space="preserve"> increasingly</w:t>
      </w:r>
      <w:r w:rsidR="003C7FDF">
        <w:t xml:space="preserve"> clear that a serious miscarriage of justice</w:t>
      </w:r>
      <w:r w:rsidR="00877262">
        <w:t xml:space="preserve"> had</w:t>
      </w:r>
      <w:r w:rsidR="003C7FDF">
        <w:t xml:space="preserve"> occurred</w:t>
      </w:r>
      <w:r w:rsidR="00D6301F">
        <w:t>.</w:t>
      </w:r>
      <w:r w:rsidR="00B7016C">
        <w:t xml:space="preserve"> </w:t>
      </w:r>
    </w:p>
    <w:p w14:paraId="296972A9" w14:textId="6B7212FB" w:rsidR="001E0EA8" w:rsidRDefault="00037F37" w:rsidP="006326D9">
      <w:pPr>
        <w:pStyle w:val="BodyText1"/>
      </w:pPr>
      <w:r>
        <w:t>More recently</w:t>
      </w:r>
      <w:r w:rsidR="009D7FC7">
        <w:t xml:space="preserve">, </w:t>
      </w:r>
      <w:r w:rsidR="00B1562A">
        <w:t xml:space="preserve">particularly </w:t>
      </w:r>
      <w:r w:rsidR="00A4563D">
        <w:t>in</w:t>
      </w:r>
      <w:r w:rsidR="00B1562A">
        <w:t xml:space="preserve"> </w:t>
      </w:r>
      <w:r>
        <w:t xml:space="preserve">the lead-up to </w:t>
      </w:r>
      <w:r w:rsidR="00B1562A">
        <w:t xml:space="preserve">the centenary of </w:t>
      </w:r>
      <w:r w:rsidR="00992876">
        <w:t xml:space="preserve">the </w:t>
      </w:r>
      <w:r w:rsidR="00EE4B88">
        <w:t>war</w:t>
      </w:r>
      <w:r w:rsidR="00B1562A">
        <w:t xml:space="preserve">, </w:t>
      </w:r>
      <w:r w:rsidR="009D7FC7">
        <w:t>c</w:t>
      </w:r>
      <w:r w:rsidR="001E0EA8" w:rsidRPr="00A42E06">
        <w:t xml:space="preserve">reative campaigning </w:t>
      </w:r>
      <w:r w:rsidR="00B1562A">
        <w:t xml:space="preserve">to ‘clear their names’ </w:t>
      </w:r>
      <w:r w:rsidR="001E0EA8">
        <w:t>by the</w:t>
      </w:r>
      <w:r w:rsidR="001E0EA8" w:rsidRPr="00A42E06">
        <w:t xml:space="preserve"> Derby People</w:t>
      </w:r>
      <w:r w:rsidR="00D6301F">
        <w:t>’</w:t>
      </w:r>
      <w:r w:rsidR="001E0EA8" w:rsidRPr="00A42E06">
        <w:t>s History Group</w:t>
      </w:r>
      <w:r w:rsidR="001E0EA8">
        <w:t xml:space="preserve"> </w:t>
      </w:r>
      <w:r w:rsidR="001E0EA8" w:rsidRPr="00A42E06">
        <w:t>inspired many local people, historians</w:t>
      </w:r>
      <w:r w:rsidR="00494EBD">
        <w:t>,</w:t>
      </w:r>
      <w:r w:rsidR="001E0EA8" w:rsidRPr="00A42E06">
        <w:t xml:space="preserve"> and </w:t>
      </w:r>
      <w:r w:rsidR="00B1562A">
        <w:t xml:space="preserve">supporters far and wide. </w:t>
      </w:r>
      <w:r w:rsidR="00494EBD">
        <w:t xml:space="preserve"> </w:t>
      </w:r>
      <w:r w:rsidR="001E0EA8" w:rsidRPr="00A42E06">
        <w:t xml:space="preserve"> </w:t>
      </w:r>
    </w:p>
    <w:p w14:paraId="05A74B15" w14:textId="4022E6EB" w:rsidR="00707C3A" w:rsidRDefault="00047CCD" w:rsidP="006326D9">
      <w:pPr>
        <w:pStyle w:val="BodyText1"/>
      </w:pPr>
      <w:r w:rsidRPr="00A42E06">
        <w:t>The</w:t>
      </w:r>
      <w:r w:rsidR="00AF5092">
        <w:t xml:space="preserve"> idea to apply to the </w:t>
      </w:r>
      <w:r w:rsidR="00A7256B">
        <w:t xml:space="preserve">CCRC </w:t>
      </w:r>
      <w:r w:rsidR="00AF5092">
        <w:t>was conceived</w:t>
      </w:r>
      <w:r w:rsidR="00A4563D">
        <w:t xml:space="preserve"> in 20</w:t>
      </w:r>
      <w:r w:rsidR="00A4563D" w:rsidRPr="00B65DB3">
        <w:t>1</w:t>
      </w:r>
      <w:r w:rsidR="00A96B83">
        <w:t>2</w:t>
      </w:r>
      <w:r w:rsidR="0025127A" w:rsidRPr="00B65DB3">
        <w:t xml:space="preserve">, </w:t>
      </w:r>
      <w:r w:rsidR="00A4563D">
        <w:t xml:space="preserve">and </w:t>
      </w:r>
      <w:r w:rsidR="00536EBC">
        <w:t xml:space="preserve">many years of research and investigation followed.  </w:t>
      </w:r>
      <w:r w:rsidR="003234A0" w:rsidRPr="00A42E06">
        <w:t>Chloë</w:t>
      </w:r>
      <w:r w:rsidR="003234A0">
        <w:t xml:space="preserve"> </w:t>
      </w:r>
      <w:r w:rsidR="00536EBC">
        <w:t>Mason worked on the case jointly with her sister, Deirdre Mason, until Deirdre’s untimely</w:t>
      </w:r>
      <w:r w:rsidR="00536EBC" w:rsidRPr="00B65DB3">
        <w:t xml:space="preserve"> </w:t>
      </w:r>
      <w:r w:rsidR="00A525EF" w:rsidRPr="00B65DB3">
        <w:t xml:space="preserve">death </w:t>
      </w:r>
      <w:r w:rsidR="00536EBC" w:rsidRPr="00B65DB3">
        <w:t>in 20</w:t>
      </w:r>
      <w:r w:rsidR="00536EBC">
        <w:t xml:space="preserve">17. Legal </w:t>
      </w:r>
      <w:r w:rsidR="00536EBC" w:rsidRPr="00536EBC">
        <w:t>advi</w:t>
      </w:r>
      <w:r w:rsidR="00536EBC">
        <w:t>ce was provided</w:t>
      </w:r>
      <w:r w:rsidR="00536EBC" w:rsidRPr="00536EBC">
        <w:t xml:space="preserve"> </w:t>
      </w:r>
      <w:r w:rsidR="00536EBC" w:rsidRPr="003234A0">
        <w:rPr>
          <w:i/>
          <w:iCs/>
        </w:rPr>
        <w:t>pro bono</w:t>
      </w:r>
      <w:r w:rsidR="00536EBC" w:rsidRPr="00536EBC">
        <w:t xml:space="preserve"> by Ben Williams, David Crigman QC and Andrew Smith QC </w:t>
      </w:r>
      <w:r w:rsidR="00536EBC">
        <w:t xml:space="preserve">of </w:t>
      </w:r>
      <w:r w:rsidR="00536EBC" w:rsidRPr="00536EBC">
        <w:t>St Philips Chambers</w:t>
      </w:r>
      <w:r w:rsidR="00E40986">
        <w:t>,</w:t>
      </w:r>
      <w:r w:rsidR="00536EBC" w:rsidRPr="00536EBC">
        <w:t xml:space="preserve"> Birmingham</w:t>
      </w:r>
      <w:r w:rsidR="00536EBC">
        <w:t xml:space="preserve">. </w:t>
      </w:r>
    </w:p>
    <w:p w14:paraId="72B6D3A1" w14:textId="3B81143E" w:rsidR="00707C3A" w:rsidRDefault="00707C3A" w:rsidP="006326D9">
      <w:pPr>
        <w:pStyle w:val="BodyText1"/>
      </w:pPr>
      <w:r>
        <w:rPr>
          <w:rFonts w:eastAsiaTheme="minorHAnsi"/>
          <w:lang w:val="en-GB" w:eastAsia="en-US"/>
        </w:rPr>
        <w:t xml:space="preserve">The core premise </w:t>
      </w:r>
      <w:r w:rsidR="00536EBC">
        <w:rPr>
          <w:rFonts w:eastAsiaTheme="minorHAnsi"/>
          <w:lang w:val="en-GB" w:eastAsia="en-US"/>
        </w:rPr>
        <w:t xml:space="preserve">of the application </w:t>
      </w:r>
      <w:r>
        <w:rPr>
          <w:rFonts w:eastAsiaTheme="minorHAnsi"/>
          <w:lang w:val="en-GB" w:eastAsia="en-US"/>
        </w:rPr>
        <w:t xml:space="preserve">was that the case </w:t>
      </w:r>
      <w:r w:rsidR="008965E2">
        <w:rPr>
          <w:rFonts w:eastAsiaTheme="minorHAnsi"/>
          <w:lang w:val="en-GB" w:eastAsia="en-US"/>
        </w:rPr>
        <w:t xml:space="preserve">was </w:t>
      </w:r>
      <w:r w:rsidR="00FC1948">
        <w:rPr>
          <w:rFonts w:eastAsiaTheme="minorHAnsi"/>
          <w:lang w:val="en-GB" w:eastAsia="en-US"/>
        </w:rPr>
        <w:t xml:space="preserve">an abuse of process </w:t>
      </w:r>
      <w:r w:rsidR="008965E2">
        <w:rPr>
          <w:rFonts w:eastAsiaTheme="minorHAnsi"/>
          <w:lang w:val="en-GB" w:eastAsia="en-US"/>
        </w:rPr>
        <w:t>driven through by unfair means</w:t>
      </w:r>
      <w:r w:rsidR="00EE4B88">
        <w:rPr>
          <w:rFonts w:eastAsiaTheme="minorHAnsi"/>
          <w:lang w:val="en-GB" w:eastAsia="en-US"/>
        </w:rPr>
        <w:t>, and that t</w:t>
      </w:r>
      <w:r>
        <w:rPr>
          <w:rFonts w:eastAsiaTheme="minorHAnsi"/>
          <w:lang w:val="en-GB" w:eastAsia="en-US"/>
        </w:rPr>
        <w:t xml:space="preserve">he </w:t>
      </w:r>
      <w:r w:rsidR="00536EBC">
        <w:rPr>
          <w:rFonts w:eastAsiaTheme="minorHAnsi"/>
          <w:lang w:val="en-GB" w:eastAsia="en-US"/>
        </w:rPr>
        <w:t>d</w:t>
      </w:r>
      <w:r>
        <w:rPr>
          <w:rFonts w:eastAsiaTheme="minorHAnsi"/>
          <w:lang w:val="en-GB" w:eastAsia="en-US"/>
        </w:rPr>
        <w:t xml:space="preserve">efendants’ right to a fair trial </w:t>
      </w:r>
      <w:r w:rsidR="00EE4B88">
        <w:rPr>
          <w:rFonts w:eastAsiaTheme="minorHAnsi"/>
          <w:lang w:val="en-GB" w:eastAsia="en-US"/>
        </w:rPr>
        <w:t xml:space="preserve">was </w:t>
      </w:r>
      <w:r>
        <w:rPr>
          <w:rFonts w:eastAsiaTheme="minorHAnsi"/>
          <w:lang w:val="en-GB" w:eastAsia="en-US"/>
        </w:rPr>
        <w:t>sacrificed in the name of political interests</w:t>
      </w:r>
      <w:r w:rsidR="003234A0">
        <w:rPr>
          <w:rFonts w:eastAsiaTheme="minorHAnsi"/>
          <w:lang w:val="en-GB" w:eastAsia="en-US"/>
        </w:rPr>
        <w:t>.</w:t>
      </w:r>
      <w:r>
        <w:rPr>
          <w:rFonts w:eastAsiaTheme="minorHAnsi"/>
          <w:lang w:val="en-GB" w:eastAsia="en-US"/>
        </w:rPr>
        <w:t xml:space="preserve"> </w:t>
      </w:r>
      <w:r>
        <w:t xml:space="preserve">Three grounds for appeal were submitted, supported by extensive documentation including newly discovered archival </w:t>
      </w:r>
      <w:r w:rsidRPr="00A42E06">
        <w:t>records that had been suppressed for a very long time</w:t>
      </w:r>
      <w:r>
        <w:t xml:space="preserve">. </w:t>
      </w:r>
      <w:r w:rsidR="00B331C1">
        <w:t>The grounds were:</w:t>
      </w:r>
    </w:p>
    <w:p w14:paraId="69C2D874" w14:textId="77777777" w:rsidR="00B331C1" w:rsidRPr="006C5D36" w:rsidRDefault="00B331C1" w:rsidP="00B331C1">
      <w:pPr>
        <w:pStyle w:val="BodyText1"/>
        <w:ind w:left="709"/>
        <w:rPr>
          <w:b/>
          <w:bCs/>
        </w:rPr>
      </w:pPr>
      <w:r w:rsidRPr="006C5D36">
        <w:rPr>
          <w:b/>
          <w:bCs/>
        </w:rPr>
        <w:t>1. The role of the key undercover agent known to the Defendants as ‘Alex Gordon’, specifically the failure to call him as a witness and the failure to disclose his background.</w:t>
      </w:r>
    </w:p>
    <w:p w14:paraId="72F6CCC7" w14:textId="77777777" w:rsidR="00B331C1" w:rsidRPr="004C3591" w:rsidRDefault="00B331C1" w:rsidP="00B331C1">
      <w:pPr>
        <w:pStyle w:val="BodyText1"/>
        <w:ind w:left="709"/>
      </w:pPr>
      <w:r w:rsidRPr="004C3591">
        <w:lastRenderedPageBreak/>
        <w:t xml:space="preserve">The agent, </w:t>
      </w:r>
      <w:r>
        <w:t>‘</w:t>
      </w:r>
      <w:r w:rsidRPr="004C3591">
        <w:t>Gordon</w:t>
      </w:r>
      <w:r>
        <w:t>’</w:t>
      </w:r>
      <w:r w:rsidRPr="004C3591">
        <w:t xml:space="preserve">, was deliberately kept out of the trial. He did not appear as a witness and the defence were not told of his true identity. Research has shown that </w:t>
      </w:r>
      <w:r>
        <w:t>‘</w:t>
      </w:r>
      <w:r w:rsidRPr="004C3591">
        <w:t>Gordon</w:t>
      </w:r>
      <w:r>
        <w:t>’</w:t>
      </w:r>
      <w:r w:rsidRPr="004C3591">
        <w:t xml:space="preserve"> was William Rickard, a mentally unstable convicted criminal.</w:t>
      </w:r>
    </w:p>
    <w:p w14:paraId="00B815D6" w14:textId="77777777" w:rsidR="00B331C1" w:rsidRPr="006C5D36" w:rsidRDefault="00B331C1" w:rsidP="00B331C1">
      <w:pPr>
        <w:pStyle w:val="BodyText1"/>
        <w:ind w:left="709"/>
        <w:rPr>
          <w:b/>
          <w:bCs/>
        </w:rPr>
      </w:pPr>
      <w:r w:rsidRPr="006C5D36">
        <w:rPr>
          <w:b/>
          <w:bCs/>
        </w:rPr>
        <w:t>2. The discharge of Jury 1 and empanelling of Jury 2.</w:t>
      </w:r>
    </w:p>
    <w:p w14:paraId="312A6A7E" w14:textId="77777777" w:rsidR="00B331C1" w:rsidRDefault="00B331C1" w:rsidP="00B331C1">
      <w:pPr>
        <w:pStyle w:val="BodyText1"/>
        <w:ind w:left="709"/>
      </w:pPr>
      <w:r w:rsidRPr="004C3591">
        <w:t>The first trial was aborted after the close of the prosecution case due to the illness of a juror. The trial was restarted with the original 11 jurors plus 1 new juror and all the evidence that had been heard to that point was heard again.</w:t>
      </w:r>
    </w:p>
    <w:p w14:paraId="28C4DFC2" w14:textId="77777777" w:rsidR="00B331C1" w:rsidRPr="006C5D36" w:rsidRDefault="00B331C1" w:rsidP="00B331C1">
      <w:pPr>
        <w:pStyle w:val="BodyText1"/>
        <w:ind w:left="709" w:right="-330"/>
        <w:rPr>
          <w:b/>
          <w:bCs/>
        </w:rPr>
      </w:pPr>
      <w:r w:rsidRPr="006C5D36">
        <w:rPr>
          <w:b/>
          <w:bCs/>
        </w:rPr>
        <w:t>3. Admission of and judicial reference to evidence of the defendants’ ‘bad character’.</w:t>
      </w:r>
    </w:p>
    <w:p w14:paraId="23C8DC36" w14:textId="77777777" w:rsidR="00B331C1" w:rsidRPr="004C3591" w:rsidRDefault="00B331C1" w:rsidP="00B331C1">
      <w:pPr>
        <w:pStyle w:val="BodyText1"/>
        <w:ind w:left="709"/>
      </w:pPr>
      <w:r w:rsidRPr="004C3591">
        <w:t xml:space="preserve">Inadmissible bad character evidence was adduced against Mrs Wheeldon. This was evidence, disputed at trial, of Mrs Wheeldon’s involvement in the </w:t>
      </w:r>
      <w:r>
        <w:t>‘</w:t>
      </w:r>
      <w:r w:rsidRPr="004C3591">
        <w:t>suffragette outrages</w:t>
      </w:r>
      <w:r>
        <w:t>’</w:t>
      </w:r>
      <w:r w:rsidRPr="004C3591">
        <w:t>, including</w:t>
      </w:r>
      <w:r>
        <w:t xml:space="preserve"> </w:t>
      </w:r>
      <w:r w:rsidRPr="004C3591">
        <w:t>the Breadsall Church arson, sending a skull to the Home Secretary McKenna, and the failed ‘poisoned nail in the boot</w:t>
      </w:r>
      <w:r>
        <w:t>’</w:t>
      </w:r>
      <w:r w:rsidRPr="004C3591">
        <w:t xml:space="preserve"> plot against Lloyd George.</w:t>
      </w:r>
    </w:p>
    <w:p w14:paraId="6A16BCBC" w14:textId="2E816179" w:rsidR="00603BF5" w:rsidRPr="00A42E06" w:rsidRDefault="0025127A" w:rsidP="006326D9">
      <w:pPr>
        <w:pStyle w:val="BodyText1"/>
      </w:pPr>
      <w:r>
        <w:t xml:space="preserve">Although </w:t>
      </w:r>
      <w:r w:rsidR="009A7C0B">
        <w:t>its</w:t>
      </w:r>
      <w:r w:rsidR="002412BE">
        <w:t xml:space="preserve"> </w:t>
      </w:r>
      <w:r>
        <w:t>deci</w:t>
      </w:r>
      <w:r w:rsidR="002412BE">
        <w:t>sion was</w:t>
      </w:r>
      <w:r>
        <w:t xml:space="preserve"> not to refer the case</w:t>
      </w:r>
      <w:r w:rsidR="00992876">
        <w:t xml:space="preserve"> for appeal</w:t>
      </w:r>
      <w:r w:rsidR="00053377">
        <w:t>,</w:t>
      </w:r>
      <w:r w:rsidR="00603BF5">
        <w:t xml:space="preserve"> the </w:t>
      </w:r>
      <w:r>
        <w:t xml:space="preserve">CCRC </w:t>
      </w:r>
      <w:r w:rsidR="00AF5092">
        <w:t>considered</w:t>
      </w:r>
      <w:r>
        <w:t xml:space="preserve"> </w:t>
      </w:r>
      <w:r w:rsidR="00603BF5">
        <w:t xml:space="preserve">that </w:t>
      </w:r>
      <w:r w:rsidR="00603BF5" w:rsidRPr="003E323A">
        <w:t>“the submissions identified in [</w:t>
      </w:r>
      <w:r w:rsidR="00F27A1B" w:rsidRPr="003E323A">
        <w:t>Chloë</w:t>
      </w:r>
      <w:r w:rsidR="00603BF5" w:rsidRPr="003E323A">
        <w:t xml:space="preserve"> Mason’s] application may raise a real possibility that these convictions would be overturned</w:t>
      </w:r>
      <w:r w:rsidR="002342D3">
        <w:t>”</w:t>
      </w:r>
      <w:r w:rsidR="00C54DC9" w:rsidRPr="003E323A">
        <w:t>.</w:t>
      </w:r>
      <w:r w:rsidR="00603BF5" w:rsidRPr="003E323A">
        <w:rPr>
          <w:rStyle w:val="FootnoteReference"/>
        </w:rPr>
        <w:footnoteReference w:id="1"/>
      </w:r>
      <w:r w:rsidR="00603BF5" w:rsidRPr="003E323A">
        <w:t xml:space="preserve"> The</w:t>
      </w:r>
      <w:r w:rsidR="00053377" w:rsidRPr="003E323A">
        <w:t xml:space="preserve"> Commission</w:t>
      </w:r>
      <w:r w:rsidR="00603BF5" w:rsidRPr="003E323A">
        <w:t xml:space="preserve"> further stated</w:t>
      </w:r>
      <w:r w:rsidR="00053377" w:rsidRPr="003E323A">
        <w:t xml:space="preserve"> </w:t>
      </w:r>
      <w:r w:rsidR="00F47B58" w:rsidRPr="003E323A">
        <w:t>that</w:t>
      </w:r>
      <w:r w:rsidR="00F47B58">
        <w:t xml:space="preserve"> </w:t>
      </w:r>
      <w:r w:rsidR="00053377">
        <w:t>“</w:t>
      </w:r>
      <w:r w:rsidR="00603BF5" w:rsidRPr="00603BF5">
        <w:t xml:space="preserve">if the defendants were alive today and the convictions were more recent, and the allegations being made by the applicant could be substantiated to the satisfaction of the Court of Appeal, then </w:t>
      </w:r>
      <w:r w:rsidR="00603BF5" w:rsidRPr="00A214BD">
        <w:t xml:space="preserve">there is </w:t>
      </w:r>
      <w:r w:rsidR="00AF5092" w:rsidRPr="00A214BD">
        <w:rPr>
          <w:i/>
          <w:iCs/>
        </w:rPr>
        <w:t>prima facie</w:t>
      </w:r>
      <w:r w:rsidR="00AF5092" w:rsidRPr="00A214BD">
        <w:t xml:space="preserve"> </w:t>
      </w:r>
      <w:r w:rsidR="00603BF5" w:rsidRPr="00A214BD">
        <w:t>a real possibility that the Court of Appeal would consider these convictions to be unsafe</w:t>
      </w:r>
      <w:r w:rsidR="00603BF5">
        <w:t>”</w:t>
      </w:r>
      <w:r w:rsidR="00603BF5" w:rsidRPr="00603BF5">
        <w:t>.</w:t>
      </w:r>
      <w:r w:rsidR="00603BF5" w:rsidRPr="00A90035">
        <w:rPr>
          <w:rStyle w:val="FootnoteReference"/>
        </w:rPr>
        <w:t xml:space="preserve"> </w:t>
      </w:r>
      <w:r w:rsidR="00603BF5">
        <w:rPr>
          <w:rStyle w:val="FootnoteReference"/>
        </w:rPr>
        <w:footnoteReference w:id="2"/>
      </w:r>
    </w:p>
    <w:p w14:paraId="0722233E" w14:textId="3512ADD5" w:rsidR="00B331C1" w:rsidRPr="00B331C1" w:rsidRDefault="00B331C1" w:rsidP="00B331C1">
      <w:pPr>
        <w:pStyle w:val="BodyText1"/>
      </w:pPr>
      <w:r>
        <w:t xml:space="preserve">Regarding the three grounds of appeal, the </w:t>
      </w:r>
      <w:r w:rsidRPr="00B331C1">
        <w:t>CCRC comment</w:t>
      </w:r>
      <w:r>
        <w:t>ed</w:t>
      </w:r>
      <w:r w:rsidRPr="00B331C1">
        <w:t>:</w:t>
      </w:r>
      <w:r w:rsidR="00ED2F24" w:rsidRPr="006C5D36">
        <w:rPr>
          <w:rStyle w:val="FootnoteReference"/>
          <w:rFonts w:eastAsiaTheme="minorHAnsi"/>
          <w:lang w:val="en-GB" w:eastAsia="en-US"/>
        </w:rPr>
        <w:footnoteReference w:id="3"/>
      </w:r>
    </w:p>
    <w:p w14:paraId="12CF8B40" w14:textId="229946D2" w:rsidR="00B331C1" w:rsidRPr="00870C3A" w:rsidRDefault="00B331C1" w:rsidP="00B331C1">
      <w:pPr>
        <w:pStyle w:val="BodyText1"/>
        <w:ind w:left="709"/>
        <w:rPr>
          <w:rFonts w:eastAsiaTheme="minorHAnsi"/>
          <w:lang w:val="en-GB" w:eastAsia="en-US"/>
        </w:rPr>
      </w:pPr>
      <w:r>
        <w:t>“</w:t>
      </w:r>
      <w:r w:rsidRPr="00B331C1">
        <w:t>It is accepted that Gordon was deliberately kept out of the trial and should have been called as a witness, where his evidence could have been properly tested.</w:t>
      </w:r>
      <w:r>
        <w:t>”</w:t>
      </w:r>
    </w:p>
    <w:p w14:paraId="11EDA468" w14:textId="260E1222" w:rsidR="00B331C1" w:rsidRPr="00870C3A" w:rsidRDefault="00B331C1" w:rsidP="00B331C1">
      <w:pPr>
        <w:pStyle w:val="BodyText1"/>
        <w:ind w:left="709"/>
        <w:rPr>
          <w:rFonts w:eastAsiaTheme="minorHAnsi"/>
          <w:lang w:val="en-GB" w:eastAsia="en-US"/>
        </w:rPr>
      </w:pPr>
      <w:r>
        <w:t>“</w:t>
      </w:r>
      <w:r w:rsidRPr="00B331C1">
        <w:t>The CCRC accepts that the replacement of the juror was wrong, and the trial should have continued with the 11 jurors.</w:t>
      </w:r>
      <w:r>
        <w:t>”</w:t>
      </w:r>
    </w:p>
    <w:p w14:paraId="3F34A1B6" w14:textId="7628988C" w:rsidR="00B331C1" w:rsidRDefault="00B331C1" w:rsidP="00B331C1">
      <w:pPr>
        <w:pStyle w:val="BodyText1"/>
        <w:ind w:left="709"/>
        <w:rPr>
          <w:rFonts w:eastAsiaTheme="minorHAnsi"/>
          <w:lang w:val="en-GB" w:eastAsia="en-US"/>
        </w:rPr>
      </w:pPr>
      <w:r>
        <w:t>“</w:t>
      </w:r>
      <w:r w:rsidRPr="00B331C1">
        <w:t>The CCRC would agree that the admission of the ‘bad character’ evidence should have been considered separately and submissions to challenge this should have been allowed by the defence</w:t>
      </w:r>
      <w:r w:rsidR="002342D3">
        <w:t>.</w:t>
      </w:r>
      <w:r>
        <w:t>”</w:t>
      </w:r>
    </w:p>
    <w:p w14:paraId="293334CE" w14:textId="6D72BCB5" w:rsidR="00BB049C" w:rsidRPr="00BB049C" w:rsidRDefault="009D7FC7" w:rsidP="006326D9">
      <w:pPr>
        <w:pStyle w:val="BodyText1"/>
        <w:ind w:right="-188"/>
      </w:pPr>
      <w:r>
        <w:t xml:space="preserve">The CCRC’s reasons for its decision </w:t>
      </w:r>
      <w:r w:rsidRPr="00B331C1">
        <w:rPr>
          <w:i/>
          <w:iCs/>
        </w:rPr>
        <w:t>not</w:t>
      </w:r>
      <w:r>
        <w:t xml:space="preserve"> to refer the case focused</w:t>
      </w:r>
      <w:r w:rsidR="007E58C2">
        <w:t xml:space="preserve"> primarily </w:t>
      </w:r>
      <w:r>
        <w:t xml:space="preserve">on </w:t>
      </w:r>
      <w:r w:rsidR="009064CB">
        <w:t>the</w:t>
      </w:r>
      <w:r w:rsidR="00171023">
        <w:t xml:space="preserve"> </w:t>
      </w:r>
      <w:r>
        <w:t xml:space="preserve">cost </w:t>
      </w:r>
      <w:r w:rsidR="00BB049C">
        <w:t>to the public purse</w:t>
      </w:r>
      <w:r w:rsidR="00870C3A">
        <w:t xml:space="preserve">. In their view, </w:t>
      </w:r>
      <w:r w:rsidR="004D2AA4">
        <w:t>a costly appeal</w:t>
      </w:r>
      <w:r w:rsidR="00171023">
        <w:t xml:space="preserve"> </w:t>
      </w:r>
      <w:r>
        <w:rPr>
          <w:rFonts w:eastAsiaTheme="minorHAnsi" w:cs="Calibri"/>
          <w:lang w:eastAsia="en-GB"/>
        </w:rPr>
        <w:t>was</w:t>
      </w:r>
      <w:r w:rsidR="00BB049C">
        <w:rPr>
          <w:rFonts w:eastAsiaTheme="minorHAnsi" w:cs="Calibri"/>
          <w:lang w:eastAsia="en-GB"/>
        </w:rPr>
        <w:t xml:space="preserve"> </w:t>
      </w:r>
      <w:r w:rsidR="00870C3A">
        <w:rPr>
          <w:rFonts w:eastAsiaTheme="minorHAnsi" w:cs="Calibri"/>
          <w:lang w:eastAsia="en-GB"/>
        </w:rPr>
        <w:t xml:space="preserve">not </w:t>
      </w:r>
      <w:r w:rsidR="00BB049C">
        <w:rPr>
          <w:rFonts w:eastAsiaTheme="minorHAnsi" w:cs="Calibri"/>
          <w:lang w:eastAsia="en-GB"/>
        </w:rPr>
        <w:t>sufficiently</w:t>
      </w:r>
      <w:r>
        <w:rPr>
          <w:rFonts w:eastAsiaTheme="minorHAnsi" w:cs="Calibri"/>
          <w:lang w:eastAsia="en-GB"/>
        </w:rPr>
        <w:t xml:space="preserve"> in the public interest, </w:t>
      </w:r>
      <w:r>
        <w:t>given that the case is more than 100 years old</w:t>
      </w:r>
      <w:r w:rsidR="00BB049C">
        <w:t xml:space="preserve">, </w:t>
      </w:r>
      <w:r>
        <w:t>the defendants are deceased</w:t>
      </w:r>
      <w:r w:rsidR="00BB049C">
        <w:t>, and “</w:t>
      </w:r>
      <w:r w:rsidR="00BB049C">
        <w:rPr>
          <w:rFonts w:eastAsiaTheme="minorHAnsi"/>
          <w:lang w:val="en-GB" w:eastAsia="en-US"/>
        </w:rPr>
        <w:t xml:space="preserve">any lessons from this case, such as use of undercover officers, the possibility of </w:t>
      </w:r>
      <w:r w:rsidR="00BB049C">
        <w:rPr>
          <w:rFonts w:eastAsiaTheme="minorHAnsi"/>
          <w:lang w:val="en-GB" w:eastAsia="en-US"/>
        </w:rPr>
        <w:lastRenderedPageBreak/>
        <w:t>the state acting as an ‘agent provocateur’, jury irregularities and bad character, have been and are being remedied and would have no practical relevance today</w:t>
      </w:r>
      <w:r w:rsidR="00EF6DBD">
        <w:rPr>
          <w:rFonts w:eastAsiaTheme="minorHAnsi"/>
          <w:lang w:val="en-GB" w:eastAsia="en-US"/>
        </w:rPr>
        <w:t>”.</w:t>
      </w:r>
    </w:p>
    <w:p w14:paraId="4DD1BCAE" w14:textId="38977E37" w:rsidR="00C54DC9" w:rsidRDefault="00870C3A" w:rsidP="006326D9">
      <w:pPr>
        <w:pStyle w:val="BodyText1"/>
      </w:pPr>
      <w:r w:rsidRPr="00A42E06">
        <w:t>Chloë</w:t>
      </w:r>
      <w:r>
        <w:t xml:space="preserve"> </w:t>
      </w:r>
      <w:r w:rsidR="00C54DC9">
        <w:t xml:space="preserve">Mason </w:t>
      </w:r>
      <w:r w:rsidR="00171023">
        <w:t>accepts</w:t>
      </w:r>
      <w:r w:rsidR="00322A49">
        <w:t xml:space="preserve"> </w:t>
      </w:r>
      <w:r w:rsidR="00C54DC9">
        <w:t xml:space="preserve">the reasoning behind the </w:t>
      </w:r>
      <w:r w:rsidR="002C107F">
        <w:t xml:space="preserve">CCRC’s </w:t>
      </w:r>
      <w:r w:rsidR="00C54DC9">
        <w:t xml:space="preserve">decision. “I </w:t>
      </w:r>
      <w:r w:rsidR="00171023">
        <w:t>acknowledge</w:t>
      </w:r>
      <w:r w:rsidR="00C54DC9">
        <w:t xml:space="preserve"> the severe austerity currently imposed on the criminal justice system in the UK,</w:t>
      </w:r>
      <w:r w:rsidR="00877262">
        <w:t xml:space="preserve"> a</w:t>
      </w:r>
      <w:r w:rsidR="00322A49">
        <w:t>nd i</w:t>
      </w:r>
      <w:r w:rsidR="00C54DC9">
        <w:t xml:space="preserve">t is appropriate in this context that priority be </w:t>
      </w:r>
      <w:r w:rsidR="00322A49">
        <w:t>given</w:t>
      </w:r>
      <w:r w:rsidR="00C54DC9">
        <w:t xml:space="preserve"> to people who are alive </w:t>
      </w:r>
      <w:r w:rsidR="003A1C89">
        <w:t>–</w:t>
      </w:r>
      <w:r w:rsidR="00C54DC9">
        <w:t xml:space="preserve"> some of them actually</w:t>
      </w:r>
      <w:r w:rsidR="00C54DC9" w:rsidRPr="00992876">
        <w:t xml:space="preserve"> </w:t>
      </w:r>
      <w:r w:rsidR="00A214BD" w:rsidRPr="00992876">
        <w:t>serving prison sentences</w:t>
      </w:r>
      <w:r w:rsidR="00877262" w:rsidRPr="00992876">
        <w:t>,</w:t>
      </w:r>
      <w:r w:rsidR="00C54DC9" w:rsidRPr="00992876">
        <w:t xml:space="preserve">” </w:t>
      </w:r>
      <w:r w:rsidR="00877262">
        <w:t>she said.</w:t>
      </w:r>
    </w:p>
    <w:p w14:paraId="7401E317" w14:textId="4551F534" w:rsidR="00C54DC9" w:rsidRDefault="00C54DC9" w:rsidP="006326D9">
      <w:pPr>
        <w:pStyle w:val="BodyText1"/>
      </w:pPr>
      <w:r>
        <w:t>“</w:t>
      </w:r>
      <w:r w:rsidR="003A1C89">
        <w:t xml:space="preserve">However, </w:t>
      </w:r>
      <w:r>
        <w:t xml:space="preserve">I am very glad and grateful for the Commission’s positive view: that there </w:t>
      </w:r>
      <w:r w:rsidR="00053377">
        <w:t>c</w:t>
      </w:r>
      <w:r>
        <w:t xml:space="preserve">ould have been a real possibility </w:t>
      </w:r>
      <w:r w:rsidR="00992876">
        <w:t>that</w:t>
      </w:r>
      <w:r>
        <w:t xml:space="preserve"> the Court of Appeal </w:t>
      </w:r>
      <w:r w:rsidR="00992876">
        <w:t>would</w:t>
      </w:r>
      <w:r>
        <w:t xml:space="preserve"> </w:t>
      </w:r>
      <w:r w:rsidR="00992876">
        <w:t>hold</w:t>
      </w:r>
      <w:r>
        <w:t xml:space="preserve"> the convictions unsafe. For me, this vindicates the denials by the defendants, of </w:t>
      </w:r>
      <w:r w:rsidR="00884D6C">
        <w:t xml:space="preserve">what was, in Alice’s words, </w:t>
      </w:r>
      <w:r w:rsidR="00322A49">
        <w:t>‘</w:t>
      </w:r>
      <w:r w:rsidR="00884D6C">
        <w:t xml:space="preserve">this </w:t>
      </w:r>
      <w:r>
        <w:t>preposterous conspiracy for murder</w:t>
      </w:r>
      <w:r w:rsidR="00322A49">
        <w:t>’</w:t>
      </w:r>
      <w:r>
        <w:t xml:space="preserve">. It also vindicates the efforts by many people, since the trial, to discover evidence and raise their voices about this apparent miscarriage of justice.” </w:t>
      </w:r>
    </w:p>
    <w:p w14:paraId="3EFDC3FC" w14:textId="25CBACF8" w:rsidR="008E0559" w:rsidRDefault="0053495F" w:rsidP="006326D9">
      <w:pPr>
        <w:pStyle w:val="BodyText1"/>
      </w:pPr>
      <w:r w:rsidRPr="00A42E06">
        <w:t>Chloë</w:t>
      </w:r>
      <w:r>
        <w:t xml:space="preserve"> </w:t>
      </w:r>
      <w:r w:rsidR="000639A8">
        <w:t>acknowledged the extensive support she had received in compiling the application. “</w:t>
      </w:r>
      <w:r w:rsidR="002C107F" w:rsidRPr="00A42E06">
        <w:t xml:space="preserve">Essential references and copies </w:t>
      </w:r>
      <w:r w:rsidR="00565E62">
        <w:t xml:space="preserve">of documents </w:t>
      </w:r>
      <w:r w:rsidR="002C107F" w:rsidRPr="00A42E06">
        <w:t xml:space="preserve">were generously supplied by historians, particularly Dr Nick Hiley and Sheila Rowbotham. Friends and newfound relatives helped by tracking down records held in libraries and archives across England and ploughing through the British Newspaper </w:t>
      </w:r>
      <w:r w:rsidR="00A214BD" w:rsidRPr="00A42E06">
        <w:t>Archive.</w:t>
      </w:r>
      <w:r w:rsidR="00472F2F">
        <w:t>”</w:t>
      </w:r>
    </w:p>
    <w:p w14:paraId="3B572B4F" w14:textId="11900A73" w:rsidR="002C107F" w:rsidRDefault="00536EBC" w:rsidP="006326D9">
      <w:pPr>
        <w:pStyle w:val="BodyText1"/>
      </w:pPr>
      <w:r>
        <w:t xml:space="preserve">This material is now much more accessible and is already being taken advantage of by </w:t>
      </w:r>
      <w:r w:rsidR="000639A8">
        <w:t>historians</w:t>
      </w:r>
      <w:r w:rsidR="00F12255">
        <w:t xml:space="preserve">, academics, social justice activists and artists </w:t>
      </w:r>
      <w:r w:rsidR="006C5D36">
        <w:t xml:space="preserve">in the UK and beyond, as well as </w:t>
      </w:r>
      <w:r w:rsidR="00F12255">
        <w:t xml:space="preserve">in the local </w:t>
      </w:r>
      <w:r w:rsidR="006C5D36">
        <w:t xml:space="preserve">Derby </w:t>
      </w:r>
      <w:r w:rsidR="00F12255">
        <w:t>community.</w:t>
      </w:r>
      <w:r w:rsidR="000639A8">
        <w:t xml:space="preserve"> </w:t>
      </w:r>
      <w:r w:rsidR="00870C3A">
        <w:t xml:space="preserve"> </w:t>
      </w:r>
    </w:p>
    <w:p w14:paraId="626C0D78" w14:textId="33352E1B" w:rsidR="006326D9" w:rsidRDefault="006326D9" w:rsidP="006326D9">
      <w:pPr>
        <w:pStyle w:val="BodyText1"/>
        <w:rPr>
          <w:rFonts w:eastAsia="Times New Roman"/>
          <w:lang w:eastAsia="en-GB"/>
        </w:rPr>
      </w:pPr>
      <w:r w:rsidRPr="006326D9">
        <w:rPr>
          <w:rFonts w:eastAsia="Times New Roman"/>
          <w:i/>
          <w:iCs/>
          <w:lang w:eastAsia="en-GB"/>
        </w:rPr>
        <w:t>Women and War</w:t>
      </w:r>
      <w:r>
        <w:rPr>
          <w:rFonts w:eastAsia="Times New Roman"/>
          <w:lang w:eastAsia="en-GB"/>
        </w:rPr>
        <w:t>, published in 2021 as part of the AHRC-funded project ‘</w:t>
      </w:r>
      <w:r w:rsidRPr="006326D9">
        <w:rPr>
          <w:lang w:eastAsia="en-GB"/>
        </w:rPr>
        <w:t>Beyond Commemoration: Community, Collaboration and Legacies of the First World War</w:t>
      </w:r>
      <w:r>
        <w:rPr>
          <w:lang w:eastAsia="en-GB"/>
        </w:rPr>
        <w:t>’</w:t>
      </w:r>
      <w:r>
        <w:rPr>
          <w:rFonts w:eastAsia="Times New Roman"/>
          <w:lang w:eastAsia="en-GB"/>
        </w:rPr>
        <w:t>, included a profile of Alice Wheeldon as a ‘key life’:</w:t>
      </w:r>
    </w:p>
    <w:p w14:paraId="6E823D84" w14:textId="11E0025C" w:rsidR="00583777" w:rsidRDefault="00B65DB3" w:rsidP="00B331C1">
      <w:pPr>
        <w:pStyle w:val="BodyText1"/>
        <w:ind w:right="-46"/>
      </w:pPr>
      <w:r>
        <w:rPr>
          <w:rFonts w:eastAsia="Times New Roman"/>
          <w:lang w:eastAsia="en-GB"/>
        </w:rPr>
        <w:t>“</w:t>
      </w:r>
      <w:r w:rsidRPr="00B65DB3">
        <w:rPr>
          <w:rFonts w:eastAsia="Times New Roman"/>
          <w:lang w:eastAsia="en-GB"/>
        </w:rPr>
        <w:t>Alice Wheeldon’s is the history of a woman, of a family, of a</w:t>
      </w:r>
      <w:r>
        <w:rPr>
          <w:rFonts w:ascii="Times New Roman" w:eastAsia="Times New Roman" w:hAnsi="Times New Roman" w:cs="Times New Roman"/>
          <w:szCs w:val="24"/>
          <w:lang w:eastAsia="en-GB"/>
        </w:rPr>
        <w:t xml:space="preserve"> </w:t>
      </w:r>
      <w:r w:rsidRPr="00B65DB3">
        <w:rPr>
          <w:rFonts w:eastAsia="Times New Roman"/>
          <w:lang w:eastAsia="en-GB"/>
        </w:rPr>
        <w:t>neighbourhood, and of a wider network of people who sought to</w:t>
      </w:r>
      <w:r>
        <w:rPr>
          <w:rFonts w:ascii="Times New Roman" w:eastAsia="Times New Roman" w:hAnsi="Times New Roman" w:cs="Times New Roman"/>
          <w:szCs w:val="24"/>
          <w:lang w:eastAsia="en-GB"/>
        </w:rPr>
        <w:t xml:space="preserve"> </w:t>
      </w:r>
      <w:r w:rsidRPr="00B65DB3">
        <w:rPr>
          <w:rFonts w:eastAsia="Times New Roman"/>
          <w:lang w:eastAsia="en-GB"/>
        </w:rPr>
        <w:t>make the world a better place through women’s rights, pacifism</w:t>
      </w:r>
      <w:r>
        <w:rPr>
          <w:rFonts w:ascii="Times New Roman" w:eastAsia="Times New Roman" w:hAnsi="Times New Roman" w:cs="Times New Roman"/>
          <w:szCs w:val="24"/>
          <w:lang w:eastAsia="en-GB"/>
        </w:rPr>
        <w:t xml:space="preserve"> </w:t>
      </w:r>
      <w:r w:rsidRPr="00B65DB3">
        <w:rPr>
          <w:rFonts w:eastAsia="Times New Roman"/>
          <w:lang w:eastAsia="en-GB"/>
        </w:rPr>
        <w:t>and then opposition to conscription. All these strands intersect in</w:t>
      </w:r>
      <w:r>
        <w:rPr>
          <w:rFonts w:ascii="Times New Roman" w:eastAsia="Times New Roman" w:hAnsi="Times New Roman" w:cs="Times New Roman"/>
          <w:szCs w:val="24"/>
          <w:lang w:eastAsia="en-GB"/>
        </w:rPr>
        <w:t xml:space="preserve"> </w:t>
      </w:r>
      <w:r w:rsidRPr="00B65DB3">
        <w:rPr>
          <w:rFonts w:eastAsia="Times New Roman"/>
          <w:lang w:eastAsia="en-GB"/>
        </w:rPr>
        <w:t>the events that led to her conviction and imprisonment in 1917, and</w:t>
      </w:r>
      <w:r>
        <w:rPr>
          <w:rFonts w:ascii="Times New Roman" w:eastAsia="Times New Roman" w:hAnsi="Times New Roman" w:cs="Times New Roman"/>
          <w:szCs w:val="24"/>
          <w:lang w:eastAsia="en-GB"/>
        </w:rPr>
        <w:t xml:space="preserve"> </w:t>
      </w:r>
      <w:r w:rsidRPr="00B65DB3">
        <w:rPr>
          <w:rFonts w:eastAsia="Times New Roman"/>
          <w:lang w:eastAsia="en-GB"/>
        </w:rPr>
        <w:t>in the consequences of the trial, which scattered the Wheeldon</w:t>
      </w:r>
      <w:r>
        <w:rPr>
          <w:rFonts w:ascii="Times New Roman" w:eastAsia="Times New Roman" w:hAnsi="Times New Roman" w:cs="Times New Roman"/>
          <w:szCs w:val="24"/>
          <w:lang w:eastAsia="en-GB"/>
        </w:rPr>
        <w:t xml:space="preserve"> </w:t>
      </w:r>
      <w:r w:rsidRPr="00B65DB3">
        <w:rPr>
          <w:rFonts w:eastAsia="Times New Roman"/>
          <w:lang w:eastAsia="en-GB"/>
        </w:rPr>
        <w:t>family across the globe.</w:t>
      </w:r>
      <w:r>
        <w:rPr>
          <w:rFonts w:eastAsia="Times New Roman"/>
          <w:lang w:eastAsia="en-GB"/>
        </w:rPr>
        <w:t>”</w:t>
      </w:r>
      <w:r w:rsidR="006326D9">
        <w:rPr>
          <w:rStyle w:val="FootnoteReference"/>
          <w:rFonts w:eastAsia="Times New Roman"/>
          <w:lang w:eastAsia="en-GB"/>
        </w:rPr>
        <w:footnoteReference w:id="4"/>
      </w:r>
      <w:r w:rsidRPr="00B65DB3">
        <w:rPr>
          <w:rFonts w:eastAsia="Times New Roman"/>
          <w:lang w:eastAsia="en-GB"/>
        </w:rPr>
        <w:t xml:space="preserve"> </w:t>
      </w:r>
    </w:p>
    <w:p w14:paraId="59C739D2" w14:textId="4B02022F" w:rsidR="00B331C1" w:rsidRDefault="00B331C1" w:rsidP="00B331C1">
      <w:pPr>
        <w:pStyle w:val="BodyText1"/>
        <w:ind w:right="-46"/>
      </w:pPr>
    </w:p>
    <w:p w14:paraId="271A9733" w14:textId="592C12AD" w:rsidR="00B331C1" w:rsidRPr="00B331C1" w:rsidRDefault="003E323A" w:rsidP="003F47D0">
      <w:pPr>
        <w:pStyle w:val="BodyText1"/>
        <w:pBdr>
          <w:top w:val="single" w:sz="4" w:space="6" w:color="auto"/>
          <w:left w:val="single" w:sz="4" w:space="4" w:color="auto"/>
          <w:bottom w:val="single" w:sz="4" w:space="1" w:color="auto"/>
          <w:right w:val="single" w:sz="4" w:space="4" w:color="auto"/>
        </w:pBdr>
        <w:ind w:right="-46"/>
        <w:rPr>
          <w:rFonts w:ascii="Times New Roman" w:eastAsia="Times New Roman" w:hAnsi="Times New Roman" w:cs="Times New Roman"/>
          <w:szCs w:val="24"/>
          <w:lang w:eastAsia="en-GB"/>
        </w:rPr>
      </w:pPr>
      <w:r w:rsidRPr="003E323A">
        <w:t xml:space="preserve">Chloë </w:t>
      </w:r>
      <w:r w:rsidR="00B331C1">
        <w:t>Mason’s submission to the CCRC</w:t>
      </w:r>
      <w:r w:rsidR="00853F77">
        <w:t>, and the CCRC’s Statement of Reasons for its decision, are</w:t>
      </w:r>
      <w:r w:rsidR="003F47D0">
        <w:t xml:space="preserve"> accessible at </w:t>
      </w:r>
      <w:hyperlink r:id="rId9" w:anchor="Downloads" w:history="1">
        <w:r w:rsidR="00CC6F98">
          <w:rPr>
            <w:rStyle w:val="Hyperlink"/>
          </w:rPr>
          <w:t>alicewheeldon.org/criminal-cases-review-commission</w:t>
        </w:r>
      </w:hyperlink>
      <w:r w:rsidR="003F47D0">
        <w:t xml:space="preserve"> </w:t>
      </w:r>
    </w:p>
    <w:sectPr w:rsidR="00B331C1" w:rsidRPr="00B331C1" w:rsidSect="006C5D36">
      <w:headerReference w:type="default" r:id="rId10"/>
      <w:pgSz w:w="11906" w:h="16838"/>
      <w:pgMar w:top="1440" w:right="1440" w:bottom="150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06CEC" w14:textId="77777777" w:rsidR="00162434" w:rsidRDefault="00162434" w:rsidP="00BD37E7">
      <w:pPr>
        <w:spacing w:after="0" w:line="240" w:lineRule="auto"/>
      </w:pPr>
      <w:r>
        <w:separator/>
      </w:r>
    </w:p>
  </w:endnote>
  <w:endnote w:type="continuationSeparator" w:id="0">
    <w:p w14:paraId="5B45949B" w14:textId="77777777" w:rsidR="00162434" w:rsidRDefault="00162434" w:rsidP="00BD3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2B873" w14:textId="77777777" w:rsidR="00162434" w:rsidRDefault="00162434" w:rsidP="00BD37E7">
      <w:pPr>
        <w:spacing w:after="0" w:line="240" w:lineRule="auto"/>
      </w:pPr>
      <w:r>
        <w:separator/>
      </w:r>
    </w:p>
  </w:footnote>
  <w:footnote w:type="continuationSeparator" w:id="0">
    <w:p w14:paraId="1CD509FE" w14:textId="77777777" w:rsidR="00162434" w:rsidRDefault="00162434" w:rsidP="00BD37E7">
      <w:pPr>
        <w:spacing w:after="0" w:line="240" w:lineRule="auto"/>
      </w:pPr>
      <w:r>
        <w:continuationSeparator/>
      </w:r>
    </w:p>
  </w:footnote>
  <w:footnote w:id="1">
    <w:p w14:paraId="0402A4EA" w14:textId="6C1A0726" w:rsidR="00603BF5" w:rsidRDefault="00603BF5" w:rsidP="006326D9">
      <w:pPr>
        <w:pStyle w:val="FootnoteText"/>
      </w:pPr>
      <w:r>
        <w:rPr>
          <w:rStyle w:val="FootnoteReference"/>
        </w:rPr>
        <w:footnoteRef/>
      </w:r>
      <w:r>
        <w:t xml:space="preserve"> CCRC </w:t>
      </w:r>
      <w:r w:rsidR="00ED2F24">
        <w:t xml:space="preserve">Statement of Reasons for a Decision not to make a reference to the Court of Appeal; CCRC Reference 01230/2019; 2 February 2022, </w:t>
      </w:r>
      <w:r>
        <w:t>CW-F-55 v0.1</w:t>
      </w:r>
      <w:r w:rsidR="00ED2F24">
        <w:t>;</w:t>
      </w:r>
      <w:r w:rsidR="0068265D">
        <w:t xml:space="preserve"> para 75 p</w:t>
      </w:r>
      <w:r w:rsidR="007C6C1C">
        <w:t xml:space="preserve">age </w:t>
      </w:r>
      <w:r w:rsidR="0068265D">
        <w:t>19</w:t>
      </w:r>
      <w:r w:rsidR="007C6C1C">
        <w:t>.</w:t>
      </w:r>
      <w:r w:rsidR="0068265D">
        <w:t xml:space="preserve"> </w:t>
      </w:r>
    </w:p>
  </w:footnote>
  <w:footnote w:id="2">
    <w:p w14:paraId="2B5A03C6" w14:textId="2236D267" w:rsidR="00603BF5" w:rsidRDefault="00603BF5" w:rsidP="00603BF5">
      <w:pPr>
        <w:pStyle w:val="FootnoteText"/>
      </w:pPr>
      <w:r>
        <w:rPr>
          <w:rStyle w:val="FootnoteReference"/>
        </w:rPr>
        <w:footnoteRef/>
      </w:r>
      <w:r>
        <w:t xml:space="preserve"> </w:t>
      </w:r>
      <w:r w:rsidR="0068265D">
        <w:t>ibid, p</w:t>
      </w:r>
      <w:r>
        <w:t>ara 33 p</w:t>
      </w:r>
      <w:r w:rsidR="007C6C1C">
        <w:t xml:space="preserve">age </w:t>
      </w:r>
      <w:r>
        <w:t>10</w:t>
      </w:r>
      <w:r w:rsidR="0068265D">
        <w:t>.</w:t>
      </w:r>
    </w:p>
  </w:footnote>
  <w:footnote w:id="3">
    <w:p w14:paraId="17ABCE36" w14:textId="28A39168" w:rsidR="00ED2F24" w:rsidRDefault="00ED2F24" w:rsidP="00ED2F24">
      <w:pPr>
        <w:pStyle w:val="FootnoteText"/>
      </w:pPr>
      <w:r>
        <w:rPr>
          <w:rStyle w:val="FootnoteReference"/>
        </w:rPr>
        <w:footnoteRef/>
      </w:r>
      <w:r>
        <w:t xml:space="preserve"> ibid, para 32 page 10.</w:t>
      </w:r>
    </w:p>
  </w:footnote>
  <w:footnote w:id="4">
    <w:p w14:paraId="5F3D0361" w14:textId="0DFC8875" w:rsidR="006326D9" w:rsidRDefault="006326D9" w:rsidP="006C5D36">
      <w:pPr>
        <w:pStyle w:val="BodyText1"/>
        <w:spacing w:before="0"/>
      </w:pPr>
      <w:r>
        <w:rPr>
          <w:rStyle w:val="FootnoteReference"/>
        </w:rPr>
        <w:footnoteRef/>
      </w:r>
      <w:r>
        <w:t xml:space="preserve"> </w:t>
      </w:r>
      <w:hyperlink r:id="rId1" w:history="1">
        <w:r w:rsidRPr="006C5D36">
          <w:rPr>
            <w:rStyle w:val="FootnoteTextChar"/>
          </w:rPr>
          <w:t>https://www.voicesofwarandpeace.org/2021/12/13/resource-beyond-commemoration-community-collaboration-and-legacies-of-the-first-world-war/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0023465"/>
      <w:docPartObj>
        <w:docPartGallery w:val="Page Numbers (Top of Page)"/>
        <w:docPartUnique/>
      </w:docPartObj>
    </w:sdtPr>
    <w:sdtEndPr>
      <w:rPr>
        <w:noProof/>
      </w:rPr>
    </w:sdtEndPr>
    <w:sdtContent>
      <w:p w14:paraId="42D70CC5" w14:textId="4424C31D" w:rsidR="0003677C" w:rsidRDefault="0003677C" w:rsidP="00D0646D">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D714D"/>
    <w:multiLevelType w:val="multilevel"/>
    <w:tmpl w:val="C1404BF8"/>
    <w:styleLink w:val="111111"/>
    <w:lvl w:ilvl="0">
      <w:start w:val="1"/>
      <w:numFmt w:val="bullet"/>
      <w:lvlText w:val=""/>
      <w:lvlJc w:val="left"/>
      <w:pPr>
        <w:ind w:left="720" w:hanging="360"/>
      </w:pPr>
      <w:rPr>
        <w:rFonts w:ascii="Symbol" w:hAnsi="Symbol" w:hint="default"/>
      </w:rPr>
    </w:lvl>
    <w:lvl w:ilvl="1">
      <w:start w:val="1"/>
      <w:numFmt w:val="decimal"/>
      <w:pStyle w:val="Listpara1SKA"/>
      <w:lvlText w:val="%1.%2."/>
      <w:lvlJc w:val="left"/>
      <w:pPr>
        <w:ind w:left="1152" w:hanging="432"/>
      </w:pPr>
    </w:lvl>
    <w:lvl w:ilvl="2">
      <w:start w:val="1"/>
      <w:numFmt w:val="decimal"/>
      <w:pStyle w:val="Listpara2body"/>
      <w:lvlText w:val="%1.%2.%3."/>
      <w:lvlJc w:val="left"/>
      <w:pPr>
        <w:ind w:left="86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21C83569"/>
    <w:multiLevelType w:val="hybridMultilevel"/>
    <w:tmpl w:val="726C33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30753F8"/>
    <w:multiLevelType w:val="multilevel"/>
    <w:tmpl w:val="C1404BF8"/>
    <w:numStyleLink w:val="111111"/>
  </w:abstractNum>
  <w:abstractNum w:abstractNumId="3" w15:restartNumberingAfterBreak="0">
    <w:nsid w:val="35152294"/>
    <w:multiLevelType w:val="hybridMultilevel"/>
    <w:tmpl w:val="8D52FF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9262262"/>
    <w:multiLevelType w:val="hybridMultilevel"/>
    <w:tmpl w:val="48847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87264D"/>
    <w:multiLevelType w:val="hybridMultilevel"/>
    <w:tmpl w:val="00284D3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9B080A"/>
    <w:multiLevelType w:val="hybridMultilevel"/>
    <w:tmpl w:val="FD3C6C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3636939"/>
    <w:multiLevelType w:val="hybridMultilevel"/>
    <w:tmpl w:val="0E60EEDC"/>
    <w:lvl w:ilvl="0" w:tplc="0C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537E51"/>
    <w:multiLevelType w:val="hybridMultilevel"/>
    <w:tmpl w:val="E9201F2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13077DC"/>
    <w:multiLevelType w:val="hybridMultilevel"/>
    <w:tmpl w:val="EF566A84"/>
    <w:lvl w:ilvl="0" w:tplc="0C090017">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278724E"/>
    <w:multiLevelType w:val="hybridMultilevel"/>
    <w:tmpl w:val="3FA899B0"/>
    <w:lvl w:ilvl="0" w:tplc="6B06302A">
      <w:numFmt w:val="bullet"/>
      <w:lvlText w:val="-"/>
      <w:lvlJc w:val="left"/>
      <w:pPr>
        <w:ind w:left="720" w:hanging="360"/>
      </w:pPr>
      <w:rPr>
        <w:rFonts w:ascii="Book Antiqua" w:eastAsiaTheme="minorEastAsia" w:hAnsi="Book Antiqu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283C35"/>
    <w:multiLevelType w:val="hybridMultilevel"/>
    <w:tmpl w:val="F5BCBF4A"/>
    <w:lvl w:ilvl="0" w:tplc="A036D8B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6BF0262"/>
    <w:multiLevelType w:val="hybridMultilevel"/>
    <w:tmpl w:val="D3782290"/>
    <w:lvl w:ilvl="0" w:tplc="0C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E47C80"/>
    <w:multiLevelType w:val="hybridMultilevel"/>
    <w:tmpl w:val="02386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960FBF"/>
    <w:multiLevelType w:val="hybridMultilevel"/>
    <w:tmpl w:val="ADB480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2"/>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3"/>
  </w:num>
  <w:num w:numId="9">
    <w:abstractNumId w:val="10"/>
  </w:num>
  <w:num w:numId="10">
    <w:abstractNumId w:val="6"/>
  </w:num>
  <w:num w:numId="11">
    <w:abstractNumId w:val="8"/>
  </w:num>
  <w:num w:numId="12">
    <w:abstractNumId w:val="3"/>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777"/>
    <w:rsid w:val="00015760"/>
    <w:rsid w:val="00021321"/>
    <w:rsid w:val="00022190"/>
    <w:rsid w:val="00024824"/>
    <w:rsid w:val="00027732"/>
    <w:rsid w:val="00034774"/>
    <w:rsid w:val="0003677C"/>
    <w:rsid w:val="00037F37"/>
    <w:rsid w:val="00047CCD"/>
    <w:rsid w:val="00053377"/>
    <w:rsid w:val="00056ECD"/>
    <w:rsid w:val="00063299"/>
    <w:rsid w:val="000639A8"/>
    <w:rsid w:val="00075592"/>
    <w:rsid w:val="00077882"/>
    <w:rsid w:val="000859D9"/>
    <w:rsid w:val="00094CF2"/>
    <w:rsid w:val="000A1F71"/>
    <w:rsid w:val="000A4049"/>
    <w:rsid w:val="000C1167"/>
    <w:rsid w:val="000C15B6"/>
    <w:rsid w:val="000C4173"/>
    <w:rsid w:val="000C6615"/>
    <w:rsid w:val="000C7682"/>
    <w:rsid w:val="000D17DA"/>
    <w:rsid w:val="000D5625"/>
    <w:rsid w:val="000D5BAB"/>
    <w:rsid w:val="000D61DF"/>
    <w:rsid w:val="000F443A"/>
    <w:rsid w:val="000F7364"/>
    <w:rsid w:val="00107952"/>
    <w:rsid w:val="0011341B"/>
    <w:rsid w:val="001144CC"/>
    <w:rsid w:val="001148CC"/>
    <w:rsid w:val="0012452C"/>
    <w:rsid w:val="00133B75"/>
    <w:rsid w:val="00135589"/>
    <w:rsid w:val="00137C9C"/>
    <w:rsid w:val="0014615F"/>
    <w:rsid w:val="00147A0F"/>
    <w:rsid w:val="00147C2B"/>
    <w:rsid w:val="00162434"/>
    <w:rsid w:val="001634EA"/>
    <w:rsid w:val="001638AF"/>
    <w:rsid w:val="00171023"/>
    <w:rsid w:val="001721D8"/>
    <w:rsid w:val="001830B5"/>
    <w:rsid w:val="001847DA"/>
    <w:rsid w:val="001904F2"/>
    <w:rsid w:val="001A1357"/>
    <w:rsid w:val="001A2AA2"/>
    <w:rsid w:val="001A668A"/>
    <w:rsid w:val="001B511B"/>
    <w:rsid w:val="001C1BCA"/>
    <w:rsid w:val="001C25DF"/>
    <w:rsid w:val="001D637D"/>
    <w:rsid w:val="001E0EA8"/>
    <w:rsid w:val="001E522A"/>
    <w:rsid w:val="001F381D"/>
    <w:rsid w:val="00203C5C"/>
    <w:rsid w:val="00204814"/>
    <w:rsid w:val="00215ACC"/>
    <w:rsid w:val="00217EAE"/>
    <w:rsid w:val="00227080"/>
    <w:rsid w:val="002342D3"/>
    <w:rsid w:val="0023752A"/>
    <w:rsid w:val="00237FC5"/>
    <w:rsid w:val="002412BE"/>
    <w:rsid w:val="00243626"/>
    <w:rsid w:val="00243F48"/>
    <w:rsid w:val="0025127A"/>
    <w:rsid w:val="00252F30"/>
    <w:rsid w:val="00256775"/>
    <w:rsid w:val="00257AE2"/>
    <w:rsid w:val="00273AA1"/>
    <w:rsid w:val="00273F8E"/>
    <w:rsid w:val="00280183"/>
    <w:rsid w:val="00286719"/>
    <w:rsid w:val="002B3A13"/>
    <w:rsid w:val="002B6DCA"/>
    <w:rsid w:val="002B7BCA"/>
    <w:rsid w:val="002C107F"/>
    <w:rsid w:val="002C2B0F"/>
    <w:rsid w:val="002D33CE"/>
    <w:rsid w:val="002D3ABA"/>
    <w:rsid w:val="002E5620"/>
    <w:rsid w:val="002E6C06"/>
    <w:rsid w:val="00311632"/>
    <w:rsid w:val="00322A49"/>
    <w:rsid w:val="003234A0"/>
    <w:rsid w:val="003277CE"/>
    <w:rsid w:val="00330208"/>
    <w:rsid w:val="003344F8"/>
    <w:rsid w:val="00337F4A"/>
    <w:rsid w:val="00340A36"/>
    <w:rsid w:val="00340FA3"/>
    <w:rsid w:val="003419E0"/>
    <w:rsid w:val="00345C82"/>
    <w:rsid w:val="00351E6F"/>
    <w:rsid w:val="00354880"/>
    <w:rsid w:val="00363662"/>
    <w:rsid w:val="003675DA"/>
    <w:rsid w:val="00370976"/>
    <w:rsid w:val="00374DDA"/>
    <w:rsid w:val="00374E23"/>
    <w:rsid w:val="0037661D"/>
    <w:rsid w:val="00394609"/>
    <w:rsid w:val="003A1C89"/>
    <w:rsid w:val="003C1765"/>
    <w:rsid w:val="003C45F7"/>
    <w:rsid w:val="003C5D83"/>
    <w:rsid w:val="003C7FDF"/>
    <w:rsid w:val="003D063E"/>
    <w:rsid w:val="003D291A"/>
    <w:rsid w:val="003E323A"/>
    <w:rsid w:val="003F3192"/>
    <w:rsid w:val="003F360E"/>
    <w:rsid w:val="003F47D0"/>
    <w:rsid w:val="003F496C"/>
    <w:rsid w:val="003F6E6F"/>
    <w:rsid w:val="0040319B"/>
    <w:rsid w:val="004161C4"/>
    <w:rsid w:val="004276F6"/>
    <w:rsid w:val="004315CF"/>
    <w:rsid w:val="00444D34"/>
    <w:rsid w:val="00453DAF"/>
    <w:rsid w:val="00455B31"/>
    <w:rsid w:val="004624C5"/>
    <w:rsid w:val="00470F23"/>
    <w:rsid w:val="00472F2F"/>
    <w:rsid w:val="00481A3E"/>
    <w:rsid w:val="004848F7"/>
    <w:rsid w:val="00484A74"/>
    <w:rsid w:val="00487B3C"/>
    <w:rsid w:val="00491342"/>
    <w:rsid w:val="00494EBD"/>
    <w:rsid w:val="004A35E6"/>
    <w:rsid w:val="004A65F9"/>
    <w:rsid w:val="004B7CEB"/>
    <w:rsid w:val="004C3591"/>
    <w:rsid w:val="004D0EF1"/>
    <w:rsid w:val="004D2AA4"/>
    <w:rsid w:val="004D7FEF"/>
    <w:rsid w:val="004E10BC"/>
    <w:rsid w:val="004E22B2"/>
    <w:rsid w:val="004F7FE7"/>
    <w:rsid w:val="005042E6"/>
    <w:rsid w:val="00514712"/>
    <w:rsid w:val="005151C2"/>
    <w:rsid w:val="00533485"/>
    <w:rsid w:val="00533E20"/>
    <w:rsid w:val="0053495F"/>
    <w:rsid w:val="00535E3E"/>
    <w:rsid w:val="00536EBC"/>
    <w:rsid w:val="00561809"/>
    <w:rsid w:val="00565E62"/>
    <w:rsid w:val="00567494"/>
    <w:rsid w:val="00583777"/>
    <w:rsid w:val="005936DC"/>
    <w:rsid w:val="00596E4C"/>
    <w:rsid w:val="005A0269"/>
    <w:rsid w:val="005C0C50"/>
    <w:rsid w:val="005C1BC9"/>
    <w:rsid w:val="005C7DA4"/>
    <w:rsid w:val="005D0208"/>
    <w:rsid w:val="005D3971"/>
    <w:rsid w:val="005D5E66"/>
    <w:rsid w:val="005D6BB5"/>
    <w:rsid w:val="005E34F8"/>
    <w:rsid w:val="005F6759"/>
    <w:rsid w:val="00603BF5"/>
    <w:rsid w:val="00606912"/>
    <w:rsid w:val="00612674"/>
    <w:rsid w:val="0062079D"/>
    <w:rsid w:val="00625D85"/>
    <w:rsid w:val="006266E4"/>
    <w:rsid w:val="006326D9"/>
    <w:rsid w:val="006335B6"/>
    <w:rsid w:val="00633F34"/>
    <w:rsid w:val="00635690"/>
    <w:rsid w:val="0064583C"/>
    <w:rsid w:val="00650CE7"/>
    <w:rsid w:val="00670AA1"/>
    <w:rsid w:val="00676AFD"/>
    <w:rsid w:val="00676FF5"/>
    <w:rsid w:val="0068265D"/>
    <w:rsid w:val="00683BB7"/>
    <w:rsid w:val="0069703F"/>
    <w:rsid w:val="006A7400"/>
    <w:rsid w:val="006B0D2F"/>
    <w:rsid w:val="006B6A15"/>
    <w:rsid w:val="006C5D36"/>
    <w:rsid w:val="006D73C1"/>
    <w:rsid w:val="006F1D92"/>
    <w:rsid w:val="006F23CA"/>
    <w:rsid w:val="006F49E8"/>
    <w:rsid w:val="00707C3A"/>
    <w:rsid w:val="0071459C"/>
    <w:rsid w:val="00737132"/>
    <w:rsid w:val="007529ED"/>
    <w:rsid w:val="00760932"/>
    <w:rsid w:val="00762F3D"/>
    <w:rsid w:val="0076494C"/>
    <w:rsid w:val="00773892"/>
    <w:rsid w:val="00785ABD"/>
    <w:rsid w:val="0079067C"/>
    <w:rsid w:val="00795808"/>
    <w:rsid w:val="00797050"/>
    <w:rsid w:val="007A2629"/>
    <w:rsid w:val="007A7273"/>
    <w:rsid w:val="007B15FB"/>
    <w:rsid w:val="007C60FD"/>
    <w:rsid w:val="007C6C1C"/>
    <w:rsid w:val="007E5069"/>
    <w:rsid w:val="007E58C2"/>
    <w:rsid w:val="007F1682"/>
    <w:rsid w:val="007F4B4D"/>
    <w:rsid w:val="008043C3"/>
    <w:rsid w:val="00806AE4"/>
    <w:rsid w:val="00812B7B"/>
    <w:rsid w:val="008133A2"/>
    <w:rsid w:val="00825C4A"/>
    <w:rsid w:val="00825D78"/>
    <w:rsid w:val="00830D98"/>
    <w:rsid w:val="0083160E"/>
    <w:rsid w:val="00831A7A"/>
    <w:rsid w:val="00831F98"/>
    <w:rsid w:val="00833564"/>
    <w:rsid w:val="00841BC8"/>
    <w:rsid w:val="00844315"/>
    <w:rsid w:val="00846F51"/>
    <w:rsid w:val="00853F77"/>
    <w:rsid w:val="008557B6"/>
    <w:rsid w:val="008630AA"/>
    <w:rsid w:val="00870C3A"/>
    <w:rsid w:val="0087432C"/>
    <w:rsid w:val="00877262"/>
    <w:rsid w:val="00883A70"/>
    <w:rsid w:val="00884D6C"/>
    <w:rsid w:val="0089232F"/>
    <w:rsid w:val="00894254"/>
    <w:rsid w:val="0089550B"/>
    <w:rsid w:val="008965E2"/>
    <w:rsid w:val="008A4667"/>
    <w:rsid w:val="008A737D"/>
    <w:rsid w:val="008B21FB"/>
    <w:rsid w:val="008B2F53"/>
    <w:rsid w:val="008B30C3"/>
    <w:rsid w:val="008C01FC"/>
    <w:rsid w:val="008C5A57"/>
    <w:rsid w:val="008E0559"/>
    <w:rsid w:val="008F3E46"/>
    <w:rsid w:val="008F50D7"/>
    <w:rsid w:val="00900710"/>
    <w:rsid w:val="009025BD"/>
    <w:rsid w:val="00903E96"/>
    <w:rsid w:val="009064CB"/>
    <w:rsid w:val="00913462"/>
    <w:rsid w:val="00913960"/>
    <w:rsid w:val="009149FB"/>
    <w:rsid w:val="0092598E"/>
    <w:rsid w:val="0094272D"/>
    <w:rsid w:val="00946CFD"/>
    <w:rsid w:val="00965149"/>
    <w:rsid w:val="0098289D"/>
    <w:rsid w:val="00982AA6"/>
    <w:rsid w:val="00991934"/>
    <w:rsid w:val="00992876"/>
    <w:rsid w:val="00996A11"/>
    <w:rsid w:val="00997649"/>
    <w:rsid w:val="009A1AD1"/>
    <w:rsid w:val="009A6B87"/>
    <w:rsid w:val="009A7C0B"/>
    <w:rsid w:val="009B183B"/>
    <w:rsid w:val="009B1E45"/>
    <w:rsid w:val="009C5717"/>
    <w:rsid w:val="009D7FC7"/>
    <w:rsid w:val="009E4311"/>
    <w:rsid w:val="009F20DA"/>
    <w:rsid w:val="009F769D"/>
    <w:rsid w:val="009F7A66"/>
    <w:rsid w:val="00A047C7"/>
    <w:rsid w:val="00A07447"/>
    <w:rsid w:val="00A20BD9"/>
    <w:rsid w:val="00A214BD"/>
    <w:rsid w:val="00A23C81"/>
    <w:rsid w:val="00A24334"/>
    <w:rsid w:val="00A27D0E"/>
    <w:rsid w:val="00A33BAC"/>
    <w:rsid w:val="00A377B4"/>
    <w:rsid w:val="00A407FC"/>
    <w:rsid w:val="00A42E06"/>
    <w:rsid w:val="00A448E8"/>
    <w:rsid w:val="00A4563D"/>
    <w:rsid w:val="00A525EF"/>
    <w:rsid w:val="00A56DC3"/>
    <w:rsid w:val="00A6489E"/>
    <w:rsid w:val="00A66933"/>
    <w:rsid w:val="00A7256B"/>
    <w:rsid w:val="00A754A2"/>
    <w:rsid w:val="00A76747"/>
    <w:rsid w:val="00A76BF5"/>
    <w:rsid w:val="00A8402B"/>
    <w:rsid w:val="00A90035"/>
    <w:rsid w:val="00A96B83"/>
    <w:rsid w:val="00AA14D3"/>
    <w:rsid w:val="00AA43A2"/>
    <w:rsid w:val="00AC5F44"/>
    <w:rsid w:val="00AD1427"/>
    <w:rsid w:val="00AD4D4B"/>
    <w:rsid w:val="00AE563D"/>
    <w:rsid w:val="00AE594C"/>
    <w:rsid w:val="00AF5092"/>
    <w:rsid w:val="00AF5A93"/>
    <w:rsid w:val="00B027CA"/>
    <w:rsid w:val="00B1562A"/>
    <w:rsid w:val="00B1744F"/>
    <w:rsid w:val="00B25B70"/>
    <w:rsid w:val="00B316EA"/>
    <w:rsid w:val="00B318E6"/>
    <w:rsid w:val="00B32A66"/>
    <w:rsid w:val="00B331C1"/>
    <w:rsid w:val="00B33CDF"/>
    <w:rsid w:val="00B41954"/>
    <w:rsid w:val="00B61945"/>
    <w:rsid w:val="00B65DB3"/>
    <w:rsid w:val="00B7016C"/>
    <w:rsid w:val="00B71ED0"/>
    <w:rsid w:val="00B7719D"/>
    <w:rsid w:val="00B84F8A"/>
    <w:rsid w:val="00B91181"/>
    <w:rsid w:val="00B95923"/>
    <w:rsid w:val="00BA5E29"/>
    <w:rsid w:val="00BB049C"/>
    <w:rsid w:val="00BB1786"/>
    <w:rsid w:val="00BC5267"/>
    <w:rsid w:val="00BD00DF"/>
    <w:rsid w:val="00BD37E7"/>
    <w:rsid w:val="00C03159"/>
    <w:rsid w:val="00C048FD"/>
    <w:rsid w:val="00C1729B"/>
    <w:rsid w:val="00C23794"/>
    <w:rsid w:val="00C33CB8"/>
    <w:rsid w:val="00C33E12"/>
    <w:rsid w:val="00C43CBB"/>
    <w:rsid w:val="00C45319"/>
    <w:rsid w:val="00C50AF7"/>
    <w:rsid w:val="00C54DC9"/>
    <w:rsid w:val="00C56CAF"/>
    <w:rsid w:val="00C635E4"/>
    <w:rsid w:val="00C75EE6"/>
    <w:rsid w:val="00C83CC0"/>
    <w:rsid w:val="00C9106E"/>
    <w:rsid w:val="00C95FBC"/>
    <w:rsid w:val="00CA0562"/>
    <w:rsid w:val="00CA53B7"/>
    <w:rsid w:val="00CC5FCA"/>
    <w:rsid w:val="00CC6F98"/>
    <w:rsid w:val="00CD21C1"/>
    <w:rsid w:val="00CD6207"/>
    <w:rsid w:val="00CE0512"/>
    <w:rsid w:val="00CE3B95"/>
    <w:rsid w:val="00CE6791"/>
    <w:rsid w:val="00CF58A9"/>
    <w:rsid w:val="00CF72A6"/>
    <w:rsid w:val="00CF7FD1"/>
    <w:rsid w:val="00D0646D"/>
    <w:rsid w:val="00D076AA"/>
    <w:rsid w:val="00D078F7"/>
    <w:rsid w:val="00D1046E"/>
    <w:rsid w:val="00D22B5F"/>
    <w:rsid w:val="00D22CCC"/>
    <w:rsid w:val="00D253C7"/>
    <w:rsid w:val="00D3362F"/>
    <w:rsid w:val="00D342BD"/>
    <w:rsid w:val="00D346C4"/>
    <w:rsid w:val="00D3502A"/>
    <w:rsid w:val="00D36D08"/>
    <w:rsid w:val="00D41EF7"/>
    <w:rsid w:val="00D43637"/>
    <w:rsid w:val="00D60792"/>
    <w:rsid w:val="00D6301F"/>
    <w:rsid w:val="00D7406C"/>
    <w:rsid w:val="00D764E3"/>
    <w:rsid w:val="00D81384"/>
    <w:rsid w:val="00D86296"/>
    <w:rsid w:val="00D87E10"/>
    <w:rsid w:val="00D96196"/>
    <w:rsid w:val="00D9680C"/>
    <w:rsid w:val="00D97AB8"/>
    <w:rsid w:val="00DA3806"/>
    <w:rsid w:val="00DA78B1"/>
    <w:rsid w:val="00DB49D9"/>
    <w:rsid w:val="00DB6D6C"/>
    <w:rsid w:val="00DD0C8C"/>
    <w:rsid w:val="00E02038"/>
    <w:rsid w:val="00E22B64"/>
    <w:rsid w:val="00E402DF"/>
    <w:rsid w:val="00E40986"/>
    <w:rsid w:val="00E43202"/>
    <w:rsid w:val="00E473AB"/>
    <w:rsid w:val="00E53ADA"/>
    <w:rsid w:val="00E564CE"/>
    <w:rsid w:val="00E85CFD"/>
    <w:rsid w:val="00EA0C64"/>
    <w:rsid w:val="00EC0D9F"/>
    <w:rsid w:val="00EC46E8"/>
    <w:rsid w:val="00ED01BD"/>
    <w:rsid w:val="00ED050A"/>
    <w:rsid w:val="00ED2F24"/>
    <w:rsid w:val="00ED2F49"/>
    <w:rsid w:val="00ED5871"/>
    <w:rsid w:val="00ED5AFA"/>
    <w:rsid w:val="00EE0BCC"/>
    <w:rsid w:val="00EE2A16"/>
    <w:rsid w:val="00EE4B88"/>
    <w:rsid w:val="00EE5BC6"/>
    <w:rsid w:val="00EE6E35"/>
    <w:rsid w:val="00EF6DBD"/>
    <w:rsid w:val="00F03D33"/>
    <w:rsid w:val="00F1052C"/>
    <w:rsid w:val="00F12255"/>
    <w:rsid w:val="00F224F9"/>
    <w:rsid w:val="00F23129"/>
    <w:rsid w:val="00F27A1B"/>
    <w:rsid w:val="00F3225F"/>
    <w:rsid w:val="00F3583E"/>
    <w:rsid w:val="00F36E7E"/>
    <w:rsid w:val="00F40266"/>
    <w:rsid w:val="00F411CF"/>
    <w:rsid w:val="00F47B58"/>
    <w:rsid w:val="00F56C6F"/>
    <w:rsid w:val="00F6272C"/>
    <w:rsid w:val="00F648F3"/>
    <w:rsid w:val="00F64A46"/>
    <w:rsid w:val="00F64D7D"/>
    <w:rsid w:val="00F7500A"/>
    <w:rsid w:val="00F8585C"/>
    <w:rsid w:val="00F90CF5"/>
    <w:rsid w:val="00F91B7B"/>
    <w:rsid w:val="00FB35C1"/>
    <w:rsid w:val="00FC1948"/>
    <w:rsid w:val="00FC1CFF"/>
    <w:rsid w:val="00FC768B"/>
    <w:rsid w:val="00FD32F9"/>
    <w:rsid w:val="00FD3633"/>
    <w:rsid w:val="00FE05C6"/>
    <w:rsid w:val="00FE2C4D"/>
    <w:rsid w:val="00FE6161"/>
    <w:rsid w:val="00FF321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2789C"/>
  <w15:chartTrackingRefBased/>
  <w15:docId w15:val="{E80AED79-18B5-4AA1-9AD4-C101953C5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98E"/>
    <w:pPr>
      <w:spacing w:line="256" w:lineRule="auto"/>
    </w:pPr>
    <w:rPr>
      <w:rFonts w:ascii="Book Antiqua" w:eastAsiaTheme="minorEastAsia" w:hAnsi="Book Antiqua"/>
      <w:sz w:val="24"/>
      <w:lang w:val="en-AU" w:eastAsia="zh-CN"/>
    </w:rPr>
  </w:style>
  <w:style w:type="paragraph" w:styleId="Heading1">
    <w:name w:val="heading 1"/>
    <w:basedOn w:val="Normal"/>
    <w:next w:val="Normal"/>
    <w:link w:val="Heading1Char"/>
    <w:uiPriority w:val="9"/>
    <w:qFormat/>
    <w:rsid w:val="00F12255"/>
    <w:pPr>
      <w:keepNext/>
      <w:keepLines/>
      <w:spacing w:before="480" w:after="120" w:line="259" w:lineRule="auto"/>
      <w:outlineLvl w:val="0"/>
    </w:pPr>
    <w:rPr>
      <w:rFonts w:eastAsiaTheme="majorEastAsia" w:cstheme="majorBidi"/>
      <w:b/>
      <w:bCs/>
      <w:sz w:val="32"/>
      <w:szCs w:val="32"/>
      <w:lang w:val="en-US" w:eastAsia="en-US"/>
    </w:rPr>
  </w:style>
  <w:style w:type="paragraph" w:styleId="Heading2">
    <w:name w:val="heading 2"/>
    <w:basedOn w:val="Normal"/>
    <w:next w:val="Normal"/>
    <w:link w:val="Heading2Char"/>
    <w:uiPriority w:val="9"/>
    <w:unhideWhenUsed/>
    <w:qFormat/>
    <w:rsid w:val="00053377"/>
    <w:pPr>
      <w:keepNext/>
      <w:keepLines/>
      <w:spacing w:before="240"/>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A448E8"/>
    <w:pPr>
      <w:spacing w:before="160" w:after="120" w:line="259" w:lineRule="auto"/>
      <w:ind w:right="-187"/>
      <w:outlineLvl w:val="2"/>
    </w:pPr>
    <w:rPr>
      <w:rFonts w:eastAsiaTheme="majorEastAsia" w:cstheme="majorBidi"/>
      <w:b/>
      <w:bCs/>
      <w:i/>
      <w:iCs/>
      <w:color w:val="000000" w:themeColor="text1"/>
      <w:sz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3377"/>
    <w:rPr>
      <w:rFonts w:ascii="Book Antiqua" w:eastAsiaTheme="majorEastAsia" w:hAnsi="Book Antiqua" w:cstheme="majorBidi"/>
      <w:b/>
      <w:sz w:val="28"/>
      <w:szCs w:val="26"/>
      <w:lang w:val="en-AU" w:eastAsia="zh-CN"/>
    </w:rPr>
  </w:style>
  <w:style w:type="paragraph" w:styleId="NormalWeb">
    <w:name w:val="Normal (Web)"/>
    <w:basedOn w:val="Normal"/>
    <w:uiPriority w:val="99"/>
    <w:semiHidden/>
    <w:unhideWhenUsed/>
    <w:rsid w:val="00583777"/>
    <w:pPr>
      <w:spacing w:before="100" w:beforeAutospacing="1" w:after="100" w:afterAutospacing="1" w:line="240" w:lineRule="auto"/>
    </w:pPr>
    <w:rPr>
      <w:rFonts w:ascii="Times New Roman" w:eastAsia="Times New Roman" w:hAnsi="Times New Roman" w:cs="Times New Roman"/>
      <w:szCs w:val="24"/>
      <w:lang w:val="en-GB" w:eastAsia="en-GB"/>
    </w:rPr>
  </w:style>
  <w:style w:type="paragraph" w:styleId="Header">
    <w:name w:val="header"/>
    <w:basedOn w:val="Normal"/>
    <w:link w:val="HeaderChar"/>
    <w:uiPriority w:val="99"/>
    <w:unhideWhenUsed/>
    <w:rsid w:val="00BD37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7E7"/>
    <w:rPr>
      <w:rFonts w:ascii="Book Antiqua" w:eastAsiaTheme="minorEastAsia" w:hAnsi="Book Antiqua"/>
      <w:sz w:val="24"/>
      <w:lang w:val="en-AU" w:eastAsia="zh-CN"/>
    </w:rPr>
  </w:style>
  <w:style w:type="paragraph" w:styleId="Footer">
    <w:name w:val="footer"/>
    <w:basedOn w:val="Normal"/>
    <w:link w:val="FooterChar"/>
    <w:uiPriority w:val="99"/>
    <w:unhideWhenUsed/>
    <w:rsid w:val="00BD37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7E7"/>
    <w:rPr>
      <w:rFonts w:ascii="Book Antiqua" w:eastAsiaTheme="minorEastAsia" w:hAnsi="Book Antiqua"/>
      <w:sz w:val="24"/>
      <w:lang w:val="en-AU" w:eastAsia="zh-CN"/>
    </w:rPr>
  </w:style>
  <w:style w:type="paragraph" w:styleId="ListParagraph">
    <w:name w:val="List Paragraph"/>
    <w:basedOn w:val="Normal"/>
    <w:uiPriority w:val="34"/>
    <w:qFormat/>
    <w:rsid w:val="00D3502A"/>
    <w:pPr>
      <w:ind w:left="720"/>
      <w:contextualSpacing/>
    </w:pPr>
  </w:style>
  <w:style w:type="character" w:styleId="Hyperlink">
    <w:name w:val="Hyperlink"/>
    <w:basedOn w:val="DefaultParagraphFont"/>
    <w:uiPriority w:val="99"/>
    <w:unhideWhenUsed/>
    <w:rsid w:val="0003677C"/>
    <w:rPr>
      <w:color w:val="0563C1" w:themeColor="hyperlink"/>
      <w:u w:val="single"/>
    </w:rPr>
  </w:style>
  <w:style w:type="character" w:styleId="UnresolvedMention">
    <w:name w:val="Unresolved Mention"/>
    <w:basedOn w:val="DefaultParagraphFont"/>
    <w:uiPriority w:val="99"/>
    <w:semiHidden/>
    <w:unhideWhenUsed/>
    <w:rsid w:val="0003677C"/>
    <w:rPr>
      <w:color w:val="605E5C"/>
      <w:shd w:val="clear" w:color="auto" w:fill="E1DFDD"/>
    </w:rPr>
  </w:style>
  <w:style w:type="paragraph" w:customStyle="1" w:styleId="ydpb55798bcyiv9559353884msonormal">
    <w:name w:val="ydpb55798bcyiv9559353884msonormal"/>
    <w:basedOn w:val="Normal"/>
    <w:rsid w:val="00EE0BCC"/>
    <w:pPr>
      <w:spacing w:before="100" w:beforeAutospacing="1" w:after="100" w:afterAutospacing="1" w:line="240" w:lineRule="auto"/>
    </w:pPr>
    <w:rPr>
      <w:rFonts w:ascii="Calibri" w:eastAsiaTheme="minorHAnsi" w:hAnsi="Calibri" w:cs="Calibri"/>
      <w:sz w:val="22"/>
      <w:lang w:val="en-GB" w:eastAsia="en-GB"/>
    </w:rPr>
  </w:style>
  <w:style w:type="character" w:customStyle="1" w:styleId="Heading1Char">
    <w:name w:val="Heading 1 Char"/>
    <w:basedOn w:val="DefaultParagraphFont"/>
    <w:link w:val="Heading1"/>
    <w:uiPriority w:val="9"/>
    <w:rsid w:val="00F12255"/>
    <w:rPr>
      <w:rFonts w:ascii="Book Antiqua" w:eastAsiaTheme="majorEastAsia" w:hAnsi="Book Antiqua" w:cstheme="majorBidi"/>
      <w:b/>
      <w:bCs/>
      <w:sz w:val="32"/>
      <w:szCs w:val="32"/>
      <w:lang w:val="en-US"/>
    </w:rPr>
  </w:style>
  <w:style w:type="character" w:customStyle="1" w:styleId="Heading3Char">
    <w:name w:val="Heading 3 Char"/>
    <w:basedOn w:val="DefaultParagraphFont"/>
    <w:link w:val="Heading3"/>
    <w:uiPriority w:val="9"/>
    <w:rsid w:val="00A448E8"/>
    <w:rPr>
      <w:rFonts w:ascii="Book Antiqua" w:eastAsiaTheme="majorEastAsia" w:hAnsi="Book Antiqua" w:cstheme="majorBidi"/>
      <w:b/>
      <w:bCs/>
      <w:i/>
      <w:iCs/>
      <w:color w:val="000000" w:themeColor="text1"/>
      <w:sz w:val="26"/>
    </w:rPr>
  </w:style>
  <w:style w:type="paragraph" w:customStyle="1" w:styleId="Listpara1SKA">
    <w:name w:val="List para 1 SKA"/>
    <w:basedOn w:val="ListParagraph"/>
    <w:qFormat/>
    <w:rsid w:val="004D0EF1"/>
    <w:pPr>
      <w:numPr>
        <w:ilvl w:val="1"/>
        <w:numId w:val="2"/>
      </w:numPr>
      <w:spacing w:after="80" w:line="320" w:lineRule="atLeast"/>
      <w:ind w:left="567" w:hanging="567"/>
      <w:contextualSpacing w:val="0"/>
      <w:jc w:val="both"/>
    </w:pPr>
    <w:rPr>
      <w:rFonts w:eastAsiaTheme="minorHAnsi"/>
      <w:color w:val="2F5496" w:themeColor="accent1" w:themeShade="BF"/>
      <w:sz w:val="22"/>
      <w:lang w:val="en-GB" w:eastAsia="en-US"/>
    </w:rPr>
  </w:style>
  <w:style w:type="numbering" w:styleId="111111">
    <w:name w:val="Outline List 2"/>
    <w:basedOn w:val="NoList"/>
    <w:uiPriority w:val="99"/>
    <w:semiHidden/>
    <w:unhideWhenUsed/>
    <w:rsid w:val="004D0EF1"/>
    <w:pPr>
      <w:numPr>
        <w:numId w:val="1"/>
      </w:numPr>
    </w:pPr>
  </w:style>
  <w:style w:type="paragraph" w:customStyle="1" w:styleId="Listpara2body">
    <w:name w:val="List para 2 body"/>
    <w:basedOn w:val="Normal"/>
    <w:qFormat/>
    <w:rsid w:val="004D0EF1"/>
    <w:pPr>
      <w:numPr>
        <w:ilvl w:val="2"/>
        <w:numId w:val="2"/>
      </w:numPr>
      <w:spacing w:after="80" w:line="320" w:lineRule="atLeast"/>
      <w:jc w:val="both"/>
    </w:pPr>
    <w:rPr>
      <w:rFonts w:eastAsiaTheme="minorHAnsi"/>
      <w:color w:val="000000" w:themeColor="text1"/>
      <w:sz w:val="22"/>
      <w:lang w:val="en-GB" w:eastAsia="en-US"/>
    </w:rPr>
  </w:style>
  <w:style w:type="paragraph" w:styleId="FootnoteText">
    <w:name w:val="footnote text"/>
    <w:basedOn w:val="Normal"/>
    <w:link w:val="FootnoteTextChar"/>
    <w:uiPriority w:val="99"/>
    <w:unhideWhenUsed/>
    <w:rsid w:val="006326D9"/>
    <w:pPr>
      <w:spacing w:after="0" w:line="240" w:lineRule="auto"/>
    </w:pPr>
    <w:rPr>
      <w:sz w:val="20"/>
      <w:szCs w:val="20"/>
    </w:rPr>
  </w:style>
  <w:style w:type="character" w:customStyle="1" w:styleId="FootnoteTextChar">
    <w:name w:val="Footnote Text Char"/>
    <w:basedOn w:val="DefaultParagraphFont"/>
    <w:link w:val="FootnoteText"/>
    <w:uiPriority w:val="99"/>
    <w:rsid w:val="006326D9"/>
    <w:rPr>
      <w:rFonts w:ascii="Book Antiqua" w:eastAsiaTheme="minorEastAsia" w:hAnsi="Book Antiqua"/>
      <w:sz w:val="20"/>
      <w:szCs w:val="20"/>
      <w:lang w:val="en-AU" w:eastAsia="zh-CN"/>
    </w:rPr>
  </w:style>
  <w:style w:type="character" w:styleId="FootnoteReference">
    <w:name w:val="footnote reference"/>
    <w:basedOn w:val="DefaultParagraphFont"/>
    <w:uiPriority w:val="99"/>
    <w:semiHidden/>
    <w:unhideWhenUsed/>
    <w:rsid w:val="002B6DCA"/>
    <w:rPr>
      <w:vertAlign w:val="superscript"/>
    </w:rPr>
  </w:style>
  <w:style w:type="paragraph" w:styleId="TOCHeading">
    <w:name w:val="TOC Heading"/>
    <w:basedOn w:val="Heading1"/>
    <w:next w:val="Normal"/>
    <w:uiPriority w:val="39"/>
    <w:unhideWhenUsed/>
    <w:qFormat/>
    <w:rsid w:val="001721D8"/>
    <w:pPr>
      <w:spacing w:before="240" w:after="0"/>
      <w:outlineLvl w:val="9"/>
    </w:pPr>
    <w:rPr>
      <w:rFonts w:asciiTheme="majorHAnsi" w:hAnsiTheme="majorHAnsi"/>
      <w:b w:val="0"/>
      <w:bCs w:val="0"/>
      <w:caps/>
      <w:color w:val="2F5496" w:themeColor="accent1" w:themeShade="BF"/>
    </w:rPr>
  </w:style>
  <w:style w:type="paragraph" w:styleId="TOC2">
    <w:name w:val="toc 2"/>
    <w:basedOn w:val="Normal"/>
    <w:next w:val="Normal"/>
    <w:autoRedefine/>
    <w:uiPriority w:val="39"/>
    <w:unhideWhenUsed/>
    <w:rsid w:val="001721D8"/>
    <w:pPr>
      <w:spacing w:after="100"/>
      <w:ind w:left="240"/>
    </w:pPr>
  </w:style>
  <w:style w:type="paragraph" w:customStyle="1" w:styleId="BodyText1">
    <w:name w:val="Body Text1"/>
    <w:basedOn w:val="Normal"/>
    <w:qFormat/>
    <w:rsid w:val="006326D9"/>
    <w:pPr>
      <w:spacing w:before="160" w:after="0"/>
    </w:pPr>
  </w:style>
  <w:style w:type="character" w:styleId="FollowedHyperlink">
    <w:name w:val="FollowedHyperlink"/>
    <w:basedOn w:val="DefaultParagraphFont"/>
    <w:uiPriority w:val="99"/>
    <w:semiHidden/>
    <w:unhideWhenUsed/>
    <w:rsid w:val="00B65DB3"/>
    <w:rPr>
      <w:color w:val="954F72" w:themeColor="followedHyperlink"/>
      <w:u w:val="single"/>
    </w:rPr>
  </w:style>
  <w:style w:type="character" w:styleId="Emphasis">
    <w:name w:val="Emphasis"/>
    <w:basedOn w:val="DefaultParagraphFont"/>
    <w:uiPriority w:val="20"/>
    <w:qFormat/>
    <w:rsid w:val="003234A0"/>
    <w:rPr>
      <w:i/>
      <w:iCs/>
    </w:rPr>
  </w:style>
  <w:style w:type="paragraph" w:styleId="BalloonText">
    <w:name w:val="Balloon Text"/>
    <w:basedOn w:val="Normal"/>
    <w:link w:val="BalloonTextChar"/>
    <w:uiPriority w:val="99"/>
    <w:semiHidden/>
    <w:unhideWhenUsed/>
    <w:rsid w:val="00EE4B8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4B88"/>
    <w:rPr>
      <w:rFonts w:ascii="Times New Roman" w:eastAsiaTheme="minorEastAsia" w:hAnsi="Times New Roman" w:cs="Times New Roman"/>
      <w:sz w:val="18"/>
      <w:szCs w:val="18"/>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51296">
      <w:bodyDiv w:val="1"/>
      <w:marLeft w:val="0"/>
      <w:marRight w:val="0"/>
      <w:marTop w:val="0"/>
      <w:marBottom w:val="0"/>
      <w:divBdr>
        <w:top w:val="none" w:sz="0" w:space="0" w:color="auto"/>
        <w:left w:val="none" w:sz="0" w:space="0" w:color="auto"/>
        <w:bottom w:val="none" w:sz="0" w:space="0" w:color="auto"/>
        <w:right w:val="none" w:sz="0" w:space="0" w:color="auto"/>
      </w:divBdr>
    </w:div>
    <w:div w:id="324668021">
      <w:bodyDiv w:val="1"/>
      <w:marLeft w:val="0"/>
      <w:marRight w:val="0"/>
      <w:marTop w:val="0"/>
      <w:marBottom w:val="0"/>
      <w:divBdr>
        <w:top w:val="none" w:sz="0" w:space="0" w:color="auto"/>
        <w:left w:val="none" w:sz="0" w:space="0" w:color="auto"/>
        <w:bottom w:val="none" w:sz="0" w:space="0" w:color="auto"/>
        <w:right w:val="none" w:sz="0" w:space="0" w:color="auto"/>
      </w:divBdr>
    </w:div>
    <w:div w:id="439841842">
      <w:bodyDiv w:val="1"/>
      <w:marLeft w:val="0"/>
      <w:marRight w:val="0"/>
      <w:marTop w:val="0"/>
      <w:marBottom w:val="0"/>
      <w:divBdr>
        <w:top w:val="none" w:sz="0" w:space="0" w:color="auto"/>
        <w:left w:val="none" w:sz="0" w:space="0" w:color="auto"/>
        <w:bottom w:val="none" w:sz="0" w:space="0" w:color="auto"/>
        <w:right w:val="none" w:sz="0" w:space="0" w:color="auto"/>
      </w:divBdr>
    </w:div>
    <w:div w:id="1048920552">
      <w:bodyDiv w:val="1"/>
      <w:marLeft w:val="0"/>
      <w:marRight w:val="0"/>
      <w:marTop w:val="0"/>
      <w:marBottom w:val="0"/>
      <w:divBdr>
        <w:top w:val="none" w:sz="0" w:space="0" w:color="auto"/>
        <w:left w:val="none" w:sz="0" w:space="0" w:color="auto"/>
        <w:bottom w:val="none" w:sz="0" w:space="0" w:color="auto"/>
        <w:right w:val="none" w:sz="0" w:space="0" w:color="auto"/>
      </w:divBdr>
    </w:div>
    <w:div w:id="1115367052">
      <w:bodyDiv w:val="1"/>
      <w:marLeft w:val="0"/>
      <w:marRight w:val="0"/>
      <w:marTop w:val="0"/>
      <w:marBottom w:val="0"/>
      <w:divBdr>
        <w:top w:val="none" w:sz="0" w:space="0" w:color="auto"/>
        <w:left w:val="none" w:sz="0" w:space="0" w:color="auto"/>
        <w:bottom w:val="none" w:sz="0" w:space="0" w:color="auto"/>
        <w:right w:val="none" w:sz="0" w:space="0" w:color="auto"/>
      </w:divBdr>
    </w:div>
    <w:div w:id="1532302673">
      <w:bodyDiv w:val="1"/>
      <w:marLeft w:val="0"/>
      <w:marRight w:val="0"/>
      <w:marTop w:val="0"/>
      <w:marBottom w:val="0"/>
      <w:divBdr>
        <w:top w:val="none" w:sz="0" w:space="0" w:color="auto"/>
        <w:left w:val="none" w:sz="0" w:space="0" w:color="auto"/>
        <w:bottom w:val="none" w:sz="0" w:space="0" w:color="auto"/>
        <w:right w:val="none" w:sz="0" w:space="0" w:color="auto"/>
      </w:divBdr>
    </w:div>
    <w:div w:id="204547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loemason89@outloo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icewheeldon.org/criminal-cases-review-commissio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voicesofwarandpeace.org/2021/12/13/resource-beyond-commemoration-community-collaboration-and-legacies-of-the-first-world-w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7DEA254-60AB-44A6-9FD5-AF81AD6D5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1207</Words>
  <Characters>6305</Characters>
  <Application>Microsoft Office Word</Application>
  <DocSecurity>0</DocSecurity>
  <Lines>106</Lines>
  <Paragraphs>33</Paragraphs>
  <ScaleCrop>false</ScaleCrop>
  <HeadingPairs>
    <vt:vector size="2" baseType="variant">
      <vt:variant>
        <vt:lpstr>Title</vt:lpstr>
      </vt:variant>
      <vt:variant>
        <vt:i4>1</vt:i4>
      </vt:variant>
    </vt:vector>
  </HeadingPairs>
  <TitlesOfParts>
    <vt:vector size="1" baseType="lpstr">
      <vt:lpstr>Alice Wheeldon miscarriage of justice: Decision by Criminal Cases Review Commission  </vt:lpstr>
    </vt:vector>
  </TitlesOfParts>
  <Manager/>
  <Company/>
  <LinksUpToDate>false</LinksUpToDate>
  <CharactersWithSpaces>7479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Alice Wheeldon miscarriage of justice: Decision by Criminal Cases Review Commission  </dc:title>
  <dc:subject/>
  <dc:creator>Chloe Mason</dc:creator>
  <cp:keywords>Alice Wheeldon, CCRC</cp:keywords>
  <dc:description/>
  <cp:lastModifiedBy>Cathy Gray</cp:lastModifiedBy>
  <cp:revision>4</cp:revision>
  <cp:lastPrinted>2022-03-25T07:57:00Z</cp:lastPrinted>
  <dcterms:created xsi:type="dcterms:W3CDTF">2022-06-13T02:18:00Z</dcterms:created>
  <dcterms:modified xsi:type="dcterms:W3CDTF">2022-06-13T02:32:00Z</dcterms:modified>
  <cp:category/>
</cp:coreProperties>
</file>